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F8C9A">
      <w:pPr>
        <w:jc w:val="center"/>
        <w:rPr>
          <w:rFonts w:ascii="宋体-18030" w:hAnsi="宋体-18030" w:eastAsia="宋体-18030" w:cs="宋体-18030"/>
          <w:sz w:val="52"/>
          <w:szCs w:val="44"/>
        </w:rPr>
      </w:pPr>
    </w:p>
    <w:p w14:paraId="0C3A4A9C">
      <w:pPr>
        <w:jc w:val="center"/>
        <w:rPr>
          <w:rFonts w:ascii="宋体-18030" w:hAnsi="宋体-18030" w:eastAsia="宋体-18030" w:cs="宋体-18030"/>
          <w:sz w:val="52"/>
          <w:szCs w:val="44"/>
        </w:rPr>
      </w:pPr>
    </w:p>
    <w:p w14:paraId="7CA35FAE">
      <w:pPr>
        <w:jc w:val="center"/>
        <w:rPr>
          <w:rFonts w:ascii="宋体-18030" w:hAnsi="宋体-18030" w:eastAsia="宋体-18030" w:cs="宋体-18030"/>
          <w:sz w:val="52"/>
          <w:szCs w:val="44"/>
        </w:rPr>
      </w:pPr>
    </w:p>
    <w:p w14:paraId="6CCEEB2B">
      <w:pPr>
        <w:jc w:val="center"/>
        <w:rPr>
          <w:rFonts w:ascii="宋体-18030" w:hAnsi="宋体-18030" w:eastAsia="宋体-18030" w:cs="宋体-18030"/>
          <w:sz w:val="52"/>
          <w:szCs w:val="44"/>
        </w:rPr>
      </w:pPr>
    </w:p>
    <w:p w14:paraId="5FDB47D8">
      <w:pPr>
        <w:jc w:val="center"/>
        <w:rPr>
          <w:rFonts w:ascii="宋体-18030" w:hAnsi="宋体-18030" w:eastAsia="宋体-18030" w:cs="宋体-18030"/>
          <w:sz w:val="52"/>
          <w:szCs w:val="44"/>
        </w:rPr>
      </w:pPr>
    </w:p>
    <w:p w14:paraId="059C58D7">
      <w:pPr>
        <w:jc w:val="center"/>
        <w:rPr>
          <w:rFonts w:hint="eastAsia" w:ascii="宋体-18030" w:hAnsi="宋体-18030" w:eastAsia="宋体-18030" w:cs="宋体-18030"/>
          <w:b/>
          <w:bCs/>
          <w:sz w:val="72"/>
          <w:szCs w:val="52"/>
        </w:rPr>
      </w:pPr>
      <w:r>
        <w:rPr>
          <w:rFonts w:hint="eastAsia" w:ascii="宋体-18030" w:hAnsi="宋体-18030" w:eastAsia="宋体-18030" w:cs="宋体-18030"/>
          <w:b/>
          <w:bCs/>
          <w:sz w:val="52"/>
          <w:szCs w:val="44"/>
          <w:shd w:val="clear"/>
        </w:rPr>
        <w:t>土石方</w:t>
      </w:r>
      <w:r>
        <w:rPr>
          <w:rFonts w:hint="eastAsia" w:ascii="宋体-18030" w:hAnsi="宋体-18030" w:eastAsia="宋体-18030" w:cs="宋体-18030"/>
          <w:b/>
          <w:bCs/>
          <w:sz w:val="52"/>
          <w:szCs w:val="44"/>
          <w:shd w:val="clear"/>
          <w:lang w:val="en-US" w:eastAsia="zh-CN"/>
        </w:rPr>
        <w:t>销</w:t>
      </w:r>
      <w:r>
        <w:rPr>
          <w:rFonts w:hint="eastAsia" w:ascii="宋体-18030" w:hAnsi="宋体-18030" w:eastAsia="宋体-18030" w:cs="宋体-18030"/>
          <w:b/>
          <w:bCs/>
          <w:sz w:val="52"/>
          <w:szCs w:val="44"/>
        </w:rPr>
        <w:t>售合同</w:t>
      </w:r>
    </w:p>
    <w:p w14:paraId="6D6E0121">
      <w:pPr>
        <w:jc w:val="center"/>
        <w:rPr>
          <w:rFonts w:hint="eastAsia" w:ascii="宋体-18030" w:hAnsi="宋体-18030" w:eastAsia="宋体-18030" w:cs="宋体-18030"/>
          <w:b/>
          <w:bCs/>
          <w:sz w:val="72"/>
          <w:szCs w:val="52"/>
          <w:lang w:eastAsia="zh-CN"/>
        </w:rPr>
      </w:pPr>
    </w:p>
    <w:p w14:paraId="40732B56">
      <w:pPr>
        <w:jc w:val="center"/>
        <w:rPr>
          <w:rFonts w:ascii="楷体" w:hAnsi="楷体" w:eastAsia="楷体" w:cs="宋体-18030"/>
          <w:color w:val="0000FF"/>
          <w:sz w:val="44"/>
          <w:szCs w:val="44"/>
        </w:rPr>
      </w:pPr>
      <w:r>
        <w:rPr>
          <w:rFonts w:hint="eastAsia" w:ascii="楷体" w:hAnsi="楷体" w:eastAsia="楷体" w:cs="宋体-18030"/>
          <w:color w:val="auto"/>
          <w:sz w:val="44"/>
          <w:szCs w:val="44"/>
        </w:rPr>
        <w:t>（</w:t>
      </w:r>
      <w:r>
        <w:rPr>
          <w:rFonts w:hint="eastAsia" w:ascii="楷体" w:hAnsi="楷体" w:eastAsia="楷体" w:cs="宋体-18030"/>
          <w:color w:val="auto"/>
          <w:sz w:val="44"/>
          <w:szCs w:val="44"/>
          <w:lang w:val="en-US" w:eastAsia="zh-CN"/>
        </w:rPr>
        <w:t>样本</w:t>
      </w:r>
      <w:r>
        <w:rPr>
          <w:rFonts w:hint="eastAsia" w:ascii="楷体" w:hAnsi="楷体" w:eastAsia="楷体" w:cs="宋体-18030"/>
          <w:color w:val="auto"/>
          <w:sz w:val="44"/>
          <w:szCs w:val="44"/>
        </w:rPr>
        <w:t xml:space="preserve">） </w:t>
      </w:r>
      <w:r>
        <w:rPr>
          <w:rFonts w:hint="eastAsia" w:ascii="楷体" w:hAnsi="楷体" w:eastAsia="楷体" w:cs="宋体-18030"/>
          <w:color w:val="0000FF"/>
          <w:sz w:val="44"/>
          <w:szCs w:val="44"/>
        </w:rPr>
        <w:t xml:space="preserve"> </w:t>
      </w:r>
    </w:p>
    <w:p w14:paraId="1ADBBCE5">
      <w:pPr>
        <w:jc w:val="center"/>
        <w:rPr>
          <w:rFonts w:ascii="宋体-18030" w:hAnsi="宋体-18030" w:eastAsia="宋体-18030" w:cs="宋体-18030"/>
          <w:sz w:val="52"/>
          <w:szCs w:val="44"/>
        </w:rPr>
      </w:pPr>
    </w:p>
    <w:p w14:paraId="397D4F77">
      <w:pPr>
        <w:jc w:val="center"/>
        <w:rPr>
          <w:rFonts w:ascii="宋体-18030" w:hAnsi="宋体-18030" w:eastAsia="宋体-18030" w:cs="宋体-18030"/>
          <w:sz w:val="52"/>
          <w:szCs w:val="44"/>
        </w:rPr>
      </w:pPr>
    </w:p>
    <w:p w14:paraId="11F34D6C">
      <w:pPr>
        <w:jc w:val="center"/>
        <w:rPr>
          <w:rFonts w:ascii="宋体-18030" w:hAnsi="宋体-18030" w:eastAsia="宋体-18030" w:cs="宋体-18030"/>
          <w:sz w:val="52"/>
          <w:szCs w:val="44"/>
        </w:rPr>
      </w:pPr>
    </w:p>
    <w:p w14:paraId="2E326F67">
      <w:pPr>
        <w:jc w:val="center"/>
        <w:rPr>
          <w:rFonts w:ascii="宋体-18030" w:hAnsi="宋体-18030" w:eastAsia="宋体-18030" w:cs="宋体-18030"/>
          <w:sz w:val="52"/>
          <w:szCs w:val="44"/>
        </w:rPr>
      </w:pPr>
    </w:p>
    <w:p w14:paraId="7E1A1E74">
      <w:pPr>
        <w:jc w:val="center"/>
        <w:rPr>
          <w:rFonts w:ascii="楷体" w:hAnsi="楷体" w:eastAsia="楷体" w:cs="宋体-18030"/>
          <w:sz w:val="40"/>
          <w:szCs w:val="40"/>
        </w:rPr>
      </w:pPr>
      <w:r>
        <w:rPr>
          <w:rFonts w:hint="eastAsia" w:ascii="楷体" w:hAnsi="楷体" w:eastAsia="楷体" w:cs="宋体-18030"/>
          <w:sz w:val="40"/>
          <w:szCs w:val="40"/>
          <w:lang w:val="en-US" w:eastAsia="zh-CN"/>
        </w:rPr>
        <w:t>惠州市</w:t>
      </w:r>
      <w:r>
        <w:rPr>
          <w:rFonts w:hint="eastAsia" w:ascii="楷体" w:hAnsi="楷体" w:eastAsia="楷体" w:cs="宋体-18030"/>
          <w:sz w:val="40"/>
          <w:szCs w:val="40"/>
          <w:lang w:eastAsia="zh-CN"/>
        </w:rPr>
        <w:t>惠城区</w:t>
      </w:r>
      <w:r>
        <w:rPr>
          <w:rFonts w:hint="eastAsia" w:ascii="楷体" w:hAnsi="楷体" w:eastAsia="楷体" w:cs="宋体-18030"/>
          <w:sz w:val="40"/>
          <w:szCs w:val="40"/>
        </w:rPr>
        <w:t>自然资源局印制</w:t>
      </w:r>
    </w:p>
    <w:p w14:paraId="580E2C19">
      <w:pPr>
        <w:rPr>
          <w:rFonts w:ascii="楷体" w:hAnsi="楷体" w:eastAsia="楷体" w:cs="宋体-18030"/>
          <w:szCs w:val="32"/>
        </w:rPr>
      </w:pPr>
    </w:p>
    <w:p w14:paraId="3CD3CD38">
      <w:pPr>
        <w:jc w:val="center"/>
        <w:rPr>
          <w:rFonts w:ascii="宋体-18030" w:hAnsi="宋体-18030" w:eastAsia="宋体-18030" w:cs="宋体-18030"/>
          <w:sz w:val="52"/>
          <w:szCs w:val="44"/>
        </w:rPr>
        <w:sectPr>
          <w:footerReference r:id="rId3" w:type="default"/>
          <w:pgSz w:w="11906" w:h="16838"/>
          <w:pgMar w:top="1985" w:right="1588" w:bottom="1814" w:left="1588" w:header="851" w:footer="992" w:gutter="0"/>
          <w:cols w:space="720" w:num="1"/>
          <w:docGrid w:type="lines" w:linePitch="312" w:charSpace="0"/>
        </w:sectPr>
      </w:pPr>
    </w:p>
    <w:p w14:paraId="41FE693B">
      <w:pPr>
        <w:jc w:val="center"/>
        <w:rPr>
          <w:rFonts w:hint="eastAsia" w:ascii="宋体-18030" w:hAnsi="宋体-18030" w:eastAsia="宋体-18030" w:cs="宋体-18030"/>
          <w:b/>
          <w:bCs/>
          <w:sz w:val="52"/>
          <w:szCs w:val="52"/>
        </w:rPr>
      </w:pPr>
      <w:r>
        <w:rPr>
          <w:rFonts w:hint="eastAsia" w:ascii="宋体-18030" w:hAnsi="宋体-18030" w:eastAsia="宋体-18030" w:cs="宋体-18030"/>
          <w:b/>
          <w:bCs/>
          <w:color w:val="333333"/>
          <w:sz w:val="52"/>
          <w:szCs w:val="52"/>
          <w:shd w:val="clear" w:color="auto" w:fill="auto"/>
        </w:rPr>
        <w:t>土石方</w:t>
      </w:r>
      <w:r>
        <w:rPr>
          <w:rFonts w:hint="eastAsia" w:ascii="宋体-18030" w:hAnsi="宋体-18030" w:eastAsia="宋体-18030" w:cs="宋体-18030"/>
          <w:b/>
          <w:bCs/>
          <w:sz w:val="52"/>
          <w:szCs w:val="52"/>
        </w:rPr>
        <w:t>销售合同</w:t>
      </w:r>
    </w:p>
    <w:p w14:paraId="0C9645A1">
      <w:pPr>
        <w:jc w:val="center"/>
        <w:rPr>
          <w:rFonts w:hint="eastAsia" w:ascii="宋体-18030" w:hAnsi="宋体-18030" w:eastAsia="宋体-18030" w:cs="宋体-18030"/>
          <w:b/>
          <w:bCs/>
          <w:sz w:val="52"/>
          <w:szCs w:val="52"/>
        </w:rPr>
      </w:pPr>
    </w:p>
    <w:p w14:paraId="4E9F309A">
      <w:pPr>
        <w:jc w:val="center"/>
        <w:rPr>
          <w:rFonts w:hint="eastAsia" w:ascii="宋体-18030" w:hAnsi="宋体-18030" w:eastAsia="宋体-18030" w:cs="宋体-18030"/>
          <w:b/>
          <w:bCs/>
          <w:sz w:val="52"/>
          <w:szCs w:val="52"/>
        </w:rPr>
      </w:pPr>
    </w:p>
    <w:tbl>
      <w:tblPr>
        <w:tblStyle w:val="9"/>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5"/>
        <w:gridCol w:w="5670"/>
      </w:tblGrid>
      <w:tr w14:paraId="3ADB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14:paraId="160F3164">
            <w:pPr>
              <w:spacing w:line="360" w:lineRule="auto"/>
              <w:jc w:val="distribute"/>
              <w:rPr>
                <w:rFonts w:ascii="宋体" w:hAnsi="宋体" w:eastAsia="宋体"/>
                <w:color w:val="auto"/>
                <w:kern w:val="21"/>
                <w:sz w:val="28"/>
                <w:szCs w:val="48"/>
              </w:rPr>
            </w:pPr>
            <w:r>
              <w:rPr>
                <w:rFonts w:hint="eastAsia" w:ascii="宋体" w:hAnsi="宋体" w:eastAsia="宋体"/>
                <w:color w:val="auto"/>
                <w:kern w:val="21"/>
                <w:sz w:val="28"/>
                <w:szCs w:val="48"/>
              </w:rPr>
              <w:t>甲</w:t>
            </w:r>
            <w:r>
              <w:rPr>
                <w:rFonts w:hint="eastAsia" w:ascii="宋体" w:hAnsi="宋体" w:eastAsia="宋体"/>
                <w:color w:val="auto"/>
                <w:kern w:val="21"/>
                <w:sz w:val="28"/>
                <w:szCs w:val="48"/>
                <w:lang w:val="en-US" w:eastAsia="zh-CN"/>
              </w:rPr>
              <w:t xml:space="preserve">     </w:t>
            </w:r>
            <w:r>
              <w:rPr>
                <w:rFonts w:hint="eastAsia" w:ascii="宋体" w:hAnsi="宋体" w:eastAsia="宋体"/>
                <w:color w:val="auto"/>
                <w:kern w:val="21"/>
                <w:sz w:val="28"/>
                <w:szCs w:val="48"/>
              </w:rPr>
              <w:t>方：</w:t>
            </w:r>
          </w:p>
        </w:tc>
        <w:tc>
          <w:tcPr>
            <w:tcW w:w="5670" w:type="dxa"/>
          </w:tcPr>
          <w:p w14:paraId="1975739B">
            <w:pPr>
              <w:spacing w:line="360" w:lineRule="auto"/>
              <w:rPr>
                <w:rFonts w:eastAsia="仿宋"/>
                <w:color w:val="auto"/>
                <w:kern w:val="21"/>
                <w:sz w:val="28"/>
                <w:szCs w:val="48"/>
                <w:u w:val="single"/>
              </w:rPr>
            </w:pPr>
            <w:r>
              <w:rPr>
                <w:rFonts w:hint="eastAsia" w:eastAsia="仿宋"/>
                <w:color w:val="auto"/>
                <w:kern w:val="21"/>
                <w:sz w:val="28"/>
                <w:szCs w:val="48"/>
                <w:u w:val="single"/>
              </w:rPr>
              <w:t>　　　　　　　　　　　　　　</w:t>
            </w:r>
          </w:p>
        </w:tc>
      </w:tr>
      <w:tr w14:paraId="7D9F8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14:paraId="5B365FEB">
            <w:pPr>
              <w:spacing w:line="360" w:lineRule="auto"/>
              <w:jc w:val="distribute"/>
              <w:rPr>
                <w:rFonts w:ascii="宋体" w:hAnsi="宋体" w:eastAsia="宋体"/>
                <w:color w:val="auto"/>
                <w:kern w:val="21"/>
                <w:sz w:val="28"/>
                <w:szCs w:val="48"/>
              </w:rPr>
            </w:pPr>
            <w:r>
              <w:rPr>
                <w:rFonts w:hint="eastAsia" w:ascii="宋体" w:hAnsi="宋体" w:eastAsia="宋体"/>
                <w:color w:val="auto"/>
                <w:kern w:val="21"/>
                <w:sz w:val="28"/>
                <w:szCs w:val="48"/>
              </w:rPr>
              <w:t>场　　　所：</w:t>
            </w:r>
          </w:p>
        </w:tc>
        <w:tc>
          <w:tcPr>
            <w:tcW w:w="5670" w:type="dxa"/>
          </w:tcPr>
          <w:p w14:paraId="1BAA189C">
            <w:pPr>
              <w:spacing w:line="360" w:lineRule="auto"/>
              <w:rPr>
                <w:rFonts w:eastAsia="仿宋"/>
                <w:color w:val="auto"/>
                <w:kern w:val="21"/>
                <w:sz w:val="28"/>
                <w:szCs w:val="48"/>
              </w:rPr>
            </w:pPr>
            <w:r>
              <w:rPr>
                <w:rFonts w:hint="eastAsia" w:eastAsia="仿宋"/>
                <w:color w:val="auto"/>
                <w:kern w:val="21"/>
                <w:sz w:val="28"/>
                <w:szCs w:val="48"/>
                <w:u w:val="single"/>
              </w:rPr>
              <w:t xml:space="preserve"> </w:t>
            </w:r>
            <w:r>
              <w:rPr>
                <w:rFonts w:hint="eastAsia" w:eastAsia="仿宋"/>
                <w:color w:val="auto"/>
                <w:kern w:val="21"/>
                <w:sz w:val="28"/>
                <w:szCs w:val="48"/>
                <w:u w:val="single"/>
                <w:lang w:val="en-US" w:eastAsia="zh-CN"/>
              </w:rPr>
              <w:t xml:space="preserve">    </w:t>
            </w:r>
            <w:r>
              <w:rPr>
                <w:rFonts w:hint="eastAsia" w:eastAsia="仿宋"/>
                <w:color w:val="auto"/>
                <w:kern w:val="21"/>
                <w:sz w:val="28"/>
                <w:szCs w:val="48"/>
                <w:u w:val="single"/>
              </w:rPr>
              <w:t>　　　　　　　　</w:t>
            </w:r>
            <w:r>
              <w:rPr>
                <w:rFonts w:hint="eastAsia" w:eastAsia="仿宋"/>
                <w:color w:val="auto"/>
                <w:kern w:val="21"/>
                <w:sz w:val="28"/>
                <w:szCs w:val="48"/>
                <w:u w:val="single"/>
                <w:lang w:val="en-US" w:eastAsia="zh-CN"/>
              </w:rPr>
              <w:t xml:space="preserve">  </w:t>
            </w:r>
            <w:r>
              <w:rPr>
                <w:rFonts w:hint="eastAsia" w:eastAsia="仿宋"/>
                <w:color w:val="auto"/>
                <w:kern w:val="21"/>
                <w:sz w:val="28"/>
                <w:szCs w:val="48"/>
                <w:u w:val="single"/>
              </w:rPr>
              <w:t>　　</w:t>
            </w:r>
          </w:p>
        </w:tc>
      </w:tr>
      <w:tr w14:paraId="187D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14:paraId="7F250EEA">
            <w:pPr>
              <w:spacing w:line="360" w:lineRule="auto"/>
              <w:jc w:val="distribute"/>
              <w:rPr>
                <w:rFonts w:ascii="宋体" w:hAnsi="宋体" w:eastAsia="宋体"/>
                <w:color w:val="auto"/>
                <w:kern w:val="21"/>
                <w:sz w:val="28"/>
                <w:szCs w:val="48"/>
              </w:rPr>
            </w:pPr>
            <w:r>
              <w:rPr>
                <w:rFonts w:hint="eastAsia" w:ascii="宋体" w:hAnsi="宋体" w:eastAsia="宋体"/>
                <w:color w:val="auto"/>
                <w:kern w:val="21"/>
                <w:sz w:val="28"/>
                <w:szCs w:val="48"/>
              </w:rPr>
              <w:t>法定代表人：</w:t>
            </w:r>
          </w:p>
        </w:tc>
        <w:tc>
          <w:tcPr>
            <w:tcW w:w="5670" w:type="dxa"/>
          </w:tcPr>
          <w:p w14:paraId="6F9AAA5B">
            <w:pPr>
              <w:spacing w:line="360" w:lineRule="auto"/>
              <w:rPr>
                <w:rFonts w:eastAsia="仿宋"/>
                <w:color w:val="auto"/>
                <w:kern w:val="21"/>
                <w:sz w:val="28"/>
                <w:szCs w:val="48"/>
              </w:rPr>
            </w:pPr>
            <w:r>
              <w:rPr>
                <w:rFonts w:hint="eastAsia" w:eastAsia="仿宋"/>
                <w:color w:val="auto"/>
                <w:kern w:val="21"/>
                <w:sz w:val="28"/>
                <w:szCs w:val="48"/>
                <w:u w:val="single"/>
              </w:rPr>
              <w:t>　　　　　　　　　　　　　　</w:t>
            </w:r>
          </w:p>
        </w:tc>
      </w:tr>
      <w:tr w14:paraId="0D4F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14:paraId="4180058E">
            <w:pPr>
              <w:spacing w:line="360" w:lineRule="auto"/>
              <w:jc w:val="distribute"/>
              <w:rPr>
                <w:rFonts w:ascii="宋体" w:hAnsi="宋体" w:eastAsia="宋体"/>
                <w:color w:val="auto"/>
                <w:kern w:val="21"/>
                <w:sz w:val="28"/>
                <w:szCs w:val="48"/>
              </w:rPr>
            </w:pPr>
          </w:p>
        </w:tc>
        <w:tc>
          <w:tcPr>
            <w:tcW w:w="5670" w:type="dxa"/>
          </w:tcPr>
          <w:p w14:paraId="667A8908">
            <w:pPr>
              <w:spacing w:line="360" w:lineRule="auto"/>
              <w:rPr>
                <w:rFonts w:eastAsia="仿宋"/>
                <w:color w:val="auto"/>
                <w:kern w:val="21"/>
                <w:sz w:val="28"/>
                <w:szCs w:val="48"/>
              </w:rPr>
            </w:pPr>
          </w:p>
        </w:tc>
      </w:tr>
      <w:tr w14:paraId="0F1E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14:paraId="2AC6C628">
            <w:pPr>
              <w:spacing w:line="360" w:lineRule="auto"/>
              <w:jc w:val="distribute"/>
              <w:rPr>
                <w:rFonts w:hint="eastAsia" w:ascii="宋体" w:hAnsi="宋体" w:eastAsia="宋体"/>
                <w:color w:val="auto"/>
                <w:kern w:val="21"/>
                <w:sz w:val="28"/>
                <w:szCs w:val="48"/>
                <w:lang w:eastAsia="zh-CN"/>
              </w:rPr>
            </w:pPr>
            <w:r>
              <w:rPr>
                <w:rFonts w:hint="eastAsia" w:ascii="宋体" w:hAnsi="宋体" w:eastAsia="宋体"/>
                <w:color w:val="auto"/>
                <w:kern w:val="21"/>
                <w:sz w:val="28"/>
                <w:szCs w:val="48"/>
              </w:rPr>
              <w:t>乙</w:t>
            </w:r>
            <w:r>
              <w:rPr>
                <w:rFonts w:hint="eastAsia" w:ascii="宋体" w:hAnsi="宋体" w:eastAsia="宋体"/>
                <w:color w:val="auto"/>
                <w:kern w:val="21"/>
                <w:sz w:val="28"/>
                <w:szCs w:val="48"/>
                <w:lang w:val="en-US" w:eastAsia="zh-CN"/>
              </w:rPr>
              <w:t xml:space="preserve">      </w:t>
            </w:r>
            <w:r>
              <w:rPr>
                <w:rFonts w:hint="eastAsia" w:ascii="宋体" w:hAnsi="宋体" w:eastAsia="宋体"/>
                <w:color w:val="auto"/>
                <w:kern w:val="21"/>
                <w:sz w:val="28"/>
                <w:szCs w:val="48"/>
              </w:rPr>
              <w:t>方</w:t>
            </w:r>
            <w:r>
              <w:rPr>
                <w:rFonts w:hint="eastAsia" w:ascii="宋体" w:hAnsi="宋体" w:eastAsia="宋体"/>
                <w:color w:val="auto"/>
                <w:kern w:val="21"/>
                <w:sz w:val="28"/>
                <w:szCs w:val="48"/>
                <w:lang w:eastAsia="zh-CN"/>
              </w:rPr>
              <w:t>：</w:t>
            </w:r>
          </w:p>
        </w:tc>
        <w:tc>
          <w:tcPr>
            <w:tcW w:w="5670" w:type="dxa"/>
          </w:tcPr>
          <w:p w14:paraId="29957062">
            <w:pPr>
              <w:tabs>
                <w:tab w:val="left" w:pos="206"/>
              </w:tabs>
              <w:spacing w:line="360" w:lineRule="auto"/>
              <w:rPr>
                <w:rFonts w:hint="default" w:eastAsia="仿宋"/>
                <w:color w:val="auto"/>
                <w:kern w:val="21"/>
                <w:sz w:val="28"/>
                <w:szCs w:val="48"/>
                <w:lang w:val="en-US"/>
              </w:rPr>
            </w:pPr>
            <w:r>
              <w:rPr>
                <w:rFonts w:hint="eastAsia" w:eastAsia="仿宋"/>
                <w:color w:val="auto"/>
                <w:kern w:val="21"/>
                <w:sz w:val="28"/>
                <w:szCs w:val="48"/>
                <w:u w:val="single"/>
                <w:lang w:val="en-US" w:eastAsia="zh-CN"/>
              </w:rPr>
              <w:t xml:space="preserve">                            </w:t>
            </w:r>
          </w:p>
        </w:tc>
      </w:tr>
      <w:tr w14:paraId="1DE0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14:paraId="364120BC">
            <w:pPr>
              <w:spacing w:line="360" w:lineRule="auto"/>
              <w:jc w:val="distribute"/>
              <w:rPr>
                <w:rFonts w:ascii="宋体" w:hAnsi="宋体" w:eastAsia="宋体"/>
                <w:color w:val="auto"/>
                <w:kern w:val="21"/>
                <w:sz w:val="28"/>
                <w:szCs w:val="48"/>
              </w:rPr>
            </w:pPr>
            <w:r>
              <w:rPr>
                <w:rFonts w:hint="eastAsia" w:ascii="宋体" w:hAnsi="宋体" w:eastAsia="宋体"/>
                <w:color w:val="auto"/>
                <w:kern w:val="21"/>
                <w:sz w:val="28"/>
                <w:szCs w:val="48"/>
              </w:rPr>
              <w:t>场　　　　所：</w:t>
            </w:r>
          </w:p>
        </w:tc>
        <w:tc>
          <w:tcPr>
            <w:tcW w:w="5670" w:type="dxa"/>
          </w:tcPr>
          <w:p w14:paraId="49E89EA5">
            <w:pPr>
              <w:spacing w:line="360" w:lineRule="auto"/>
              <w:rPr>
                <w:rFonts w:eastAsia="仿宋"/>
                <w:color w:val="auto"/>
                <w:kern w:val="21"/>
                <w:sz w:val="28"/>
                <w:szCs w:val="48"/>
              </w:rPr>
            </w:pPr>
            <w:r>
              <w:rPr>
                <w:rFonts w:hint="eastAsia" w:eastAsia="仿宋"/>
                <w:color w:val="auto"/>
                <w:kern w:val="21"/>
                <w:sz w:val="28"/>
                <w:szCs w:val="48"/>
                <w:u w:val="single"/>
              </w:rPr>
              <w:t>　　　</w:t>
            </w:r>
            <w:r>
              <w:rPr>
                <w:rFonts w:hint="eastAsia" w:eastAsia="仿宋"/>
                <w:color w:val="auto"/>
                <w:kern w:val="21"/>
                <w:sz w:val="28"/>
                <w:szCs w:val="48"/>
                <w:u w:val="single"/>
                <w:lang w:val="en-US" w:eastAsia="zh-CN"/>
              </w:rPr>
              <w:t xml:space="preserve">                    </w:t>
            </w:r>
            <w:r>
              <w:rPr>
                <w:rFonts w:hint="eastAsia" w:eastAsia="仿宋"/>
                <w:color w:val="auto"/>
                <w:kern w:val="21"/>
                <w:sz w:val="28"/>
                <w:szCs w:val="48"/>
                <w:u w:val="single"/>
              </w:rPr>
              <w:t>　</w:t>
            </w:r>
          </w:p>
        </w:tc>
      </w:tr>
      <w:tr w14:paraId="22BB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14:paraId="6FD75D6B">
            <w:pPr>
              <w:spacing w:line="360" w:lineRule="auto"/>
              <w:jc w:val="distribute"/>
              <w:rPr>
                <w:rFonts w:ascii="宋体" w:hAnsi="宋体" w:eastAsia="宋体"/>
                <w:color w:val="auto"/>
                <w:kern w:val="21"/>
                <w:sz w:val="28"/>
                <w:szCs w:val="48"/>
              </w:rPr>
            </w:pPr>
            <w:r>
              <w:rPr>
                <w:rFonts w:hint="eastAsia" w:ascii="宋体" w:hAnsi="宋体" w:eastAsia="宋体"/>
                <w:color w:val="auto"/>
                <w:kern w:val="21"/>
                <w:sz w:val="28"/>
                <w:szCs w:val="48"/>
              </w:rPr>
              <w:t>法定代表人：</w:t>
            </w:r>
          </w:p>
        </w:tc>
        <w:tc>
          <w:tcPr>
            <w:tcW w:w="5670" w:type="dxa"/>
          </w:tcPr>
          <w:p w14:paraId="028AAB54">
            <w:pPr>
              <w:spacing w:line="360" w:lineRule="auto"/>
              <w:rPr>
                <w:rFonts w:eastAsia="仿宋"/>
                <w:color w:val="auto"/>
                <w:kern w:val="21"/>
                <w:sz w:val="28"/>
                <w:szCs w:val="48"/>
              </w:rPr>
            </w:pPr>
            <w:r>
              <w:rPr>
                <w:rFonts w:hint="eastAsia" w:eastAsia="仿宋"/>
                <w:color w:val="auto"/>
                <w:kern w:val="21"/>
                <w:sz w:val="28"/>
                <w:szCs w:val="48"/>
                <w:u w:val="single"/>
                <w:lang w:val="en-US" w:eastAsia="zh-CN"/>
              </w:rPr>
              <w:t xml:space="preserve">   </w:t>
            </w:r>
            <w:r>
              <w:rPr>
                <w:rFonts w:hint="eastAsia" w:eastAsia="仿宋"/>
                <w:color w:val="auto"/>
                <w:kern w:val="21"/>
                <w:sz w:val="28"/>
                <w:szCs w:val="48"/>
                <w:u w:val="single"/>
              </w:rPr>
              <w:t>　　　　</w:t>
            </w:r>
            <w:r>
              <w:rPr>
                <w:rFonts w:hint="eastAsia" w:eastAsia="仿宋"/>
                <w:color w:val="auto"/>
                <w:kern w:val="21"/>
                <w:sz w:val="28"/>
                <w:szCs w:val="48"/>
                <w:u w:val="single"/>
                <w:lang w:val="en-US" w:eastAsia="zh-CN"/>
              </w:rPr>
              <w:t xml:space="preserve">   </w:t>
            </w:r>
            <w:r>
              <w:rPr>
                <w:rFonts w:hint="eastAsia" w:eastAsia="仿宋"/>
                <w:color w:val="auto"/>
                <w:kern w:val="21"/>
                <w:sz w:val="28"/>
                <w:szCs w:val="48"/>
                <w:u w:val="single"/>
              </w:rPr>
              <w:t>　　　　　　　</w:t>
            </w:r>
          </w:p>
        </w:tc>
      </w:tr>
    </w:tbl>
    <w:p w14:paraId="478F96A9">
      <w:pPr>
        <w:rPr>
          <w:rFonts w:eastAsia="仿宋"/>
          <w:color w:val="auto"/>
          <w:kern w:val="21"/>
          <w:szCs w:val="32"/>
        </w:rPr>
      </w:pPr>
    </w:p>
    <w:p w14:paraId="7DA5D469">
      <w:pPr>
        <w:spacing w:line="560" w:lineRule="exact"/>
        <w:ind w:firstLine="600" w:firstLineChars="200"/>
        <w:rPr>
          <w:rFonts w:eastAsia="仿宋"/>
          <w:color w:val="auto"/>
          <w:kern w:val="21"/>
          <w:sz w:val="30"/>
          <w:szCs w:val="30"/>
        </w:rPr>
      </w:pPr>
      <w:r>
        <w:rPr>
          <w:rFonts w:hint="eastAsia" w:eastAsia="仿宋"/>
          <w:color w:val="auto"/>
          <w:kern w:val="21"/>
          <w:sz w:val="30"/>
          <w:szCs w:val="30"/>
          <w:lang w:val="en-US" w:eastAsia="zh-CN"/>
        </w:rPr>
        <w:t>根据</w:t>
      </w:r>
      <w:r>
        <w:rPr>
          <w:rFonts w:hint="eastAsia" w:eastAsia="仿宋"/>
          <w:kern w:val="21"/>
          <w:sz w:val="30"/>
          <w:szCs w:val="30"/>
        </w:rPr>
        <w:t>《中华人民共和国矿产资源法》《中华人民共和国</w:t>
      </w:r>
      <w:r>
        <w:rPr>
          <w:rFonts w:hint="eastAsia" w:eastAsia="仿宋"/>
          <w:kern w:val="21"/>
          <w:sz w:val="30"/>
          <w:szCs w:val="30"/>
          <w:lang w:eastAsia="zh-CN"/>
        </w:rPr>
        <w:t>民法典</w:t>
      </w:r>
      <w:r>
        <w:rPr>
          <w:rFonts w:hint="eastAsia" w:eastAsia="仿宋"/>
          <w:kern w:val="21"/>
          <w:sz w:val="30"/>
          <w:szCs w:val="30"/>
        </w:rPr>
        <w:t>》</w:t>
      </w:r>
      <w:r>
        <w:rPr>
          <w:rFonts w:hint="eastAsia" w:eastAsia="仿宋"/>
          <w:color w:val="auto"/>
          <w:kern w:val="21"/>
          <w:sz w:val="30"/>
          <w:szCs w:val="30"/>
        </w:rPr>
        <w:t>《广东省自然资源厅关于加强我省建筑石料资源保障工作的通知》（粤自然资规字〔2020〕8号），参考《国土资源部关于印发〈矿业权交易规则〉的通知》（国土资规〔2017〕7号）等相关规定，甲乙双方经协商一致订立本合同。</w:t>
      </w:r>
    </w:p>
    <w:p w14:paraId="131B17E9">
      <w:pPr>
        <w:spacing w:line="560" w:lineRule="exact"/>
        <w:ind w:firstLine="640" w:firstLineChars="200"/>
        <w:rPr>
          <w:rFonts w:eastAsia="仿宋"/>
          <w:color w:val="auto"/>
          <w:kern w:val="21"/>
          <w:szCs w:val="32"/>
        </w:rPr>
      </w:pPr>
      <w:r>
        <w:rPr>
          <w:rFonts w:hint="eastAsia" w:ascii="黑体" w:hAnsi="黑体" w:eastAsia="黑体"/>
          <w:color w:val="auto"/>
          <w:kern w:val="21"/>
          <w:szCs w:val="32"/>
        </w:rPr>
        <w:t>第一条</w:t>
      </w:r>
      <w:r>
        <w:rPr>
          <w:rFonts w:hint="eastAsia" w:eastAsia="仿宋"/>
          <w:color w:val="auto"/>
          <w:kern w:val="21"/>
          <w:szCs w:val="32"/>
        </w:rPr>
        <w:t>　</w:t>
      </w:r>
      <w:r>
        <w:rPr>
          <w:rFonts w:hint="eastAsia" w:ascii="黑体" w:hAnsi="黑体" w:eastAsia="黑体"/>
          <w:b/>
          <w:bCs/>
          <w:color w:val="auto"/>
          <w:kern w:val="21"/>
          <w:sz w:val="32"/>
          <w:szCs w:val="32"/>
          <w:lang w:val="en-US" w:eastAsia="zh-CN"/>
        </w:rPr>
        <w:t>土石方</w:t>
      </w:r>
      <w:r>
        <w:rPr>
          <w:rFonts w:hint="eastAsia" w:ascii="黑体" w:hAnsi="黑体" w:eastAsia="黑体"/>
          <w:b/>
          <w:bCs/>
          <w:color w:val="auto"/>
          <w:kern w:val="21"/>
          <w:szCs w:val="32"/>
          <w:lang w:val="en-US" w:eastAsia="zh-CN"/>
        </w:rPr>
        <w:t>资源</w:t>
      </w:r>
      <w:r>
        <w:rPr>
          <w:rFonts w:hint="eastAsia" w:ascii="黑体" w:hAnsi="黑体" w:eastAsia="黑体"/>
          <w:color w:val="auto"/>
          <w:kern w:val="21"/>
          <w:szCs w:val="32"/>
        </w:rPr>
        <w:t>基本情况</w:t>
      </w:r>
    </w:p>
    <w:p w14:paraId="152DD5E1">
      <w:pPr>
        <w:spacing w:line="560" w:lineRule="exact"/>
        <w:ind w:firstLine="600" w:firstLineChars="200"/>
        <w:rPr>
          <w:rFonts w:hint="eastAsia" w:ascii="Times New Roman" w:hAnsi="Times New Roman" w:eastAsia="仿宋" w:cs="Times New Roman"/>
          <w:color w:val="auto"/>
          <w:kern w:val="21"/>
          <w:sz w:val="30"/>
          <w:szCs w:val="30"/>
          <w:lang w:eastAsia="zh-CN"/>
        </w:rPr>
      </w:pPr>
      <w:r>
        <w:rPr>
          <w:rFonts w:hint="eastAsia" w:eastAsia="仿宋"/>
          <w:color w:val="auto"/>
          <w:kern w:val="21"/>
          <w:sz w:val="30"/>
          <w:szCs w:val="30"/>
        </w:rPr>
        <w:t>（一）项目名称</w:t>
      </w:r>
      <w:r>
        <w:rPr>
          <w:rFonts w:hint="eastAsia" w:ascii="Times New Roman" w:hAnsi="Times New Roman" w:eastAsia="仿宋" w:cs="Times New Roman"/>
          <w:color w:val="auto"/>
          <w:kern w:val="21"/>
          <w:sz w:val="30"/>
          <w:szCs w:val="30"/>
        </w:rPr>
        <w:t>：</w:t>
      </w:r>
      <w:r>
        <w:rPr>
          <w:rFonts w:hint="eastAsia" w:ascii="Times New Roman" w:hAnsi="Times New Roman" w:eastAsia="仿宋" w:cs="Times New Roman"/>
          <w:color w:val="auto"/>
          <w:kern w:val="21"/>
          <w:sz w:val="30"/>
          <w:szCs w:val="30"/>
          <w:lang w:val="en-US" w:eastAsia="zh-CN"/>
        </w:rPr>
        <w:t>惠州市惠城区白沙堆山体安全治理项目土石方</w:t>
      </w:r>
      <w:r>
        <w:rPr>
          <w:rFonts w:hint="eastAsia" w:ascii="Times New Roman" w:hAnsi="Times New Roman" w:eastAsia="仿宋" w:cs="Times New Roman"/>
          <w:color w:val="auto"/>
          <w:kern w:val="21"/>
          <w:sz w:val="30"/>
          <w:szCs w:val="30"/>
        </w:rPr>
        <w:t>处置项目</w:t>
      </w:r>
      <w:r>
        <w:rPr>
          <w:rFonts w:hint="eastAsia" w:ascii="Times New Roman" w:hAnsi="Times New Roman" w:eastAsia="仿宋" w:cs="Times New Roman"/>
          <w:color w:val="auto"/>
          <w:kern w:val="21"/>
          <w:sz w:val="30"/>
          <w:szCs w:val="30"/>
          <w:lang w:eastAsia="zh-CN"/>
        </w:rPr>
        <w:t>。</w:t>
      </w:r>
    </w:p>
    <w:p w14:paraId="77A21973">
      <w:pPr>
        <w:spacing w:line="560" w:lineRule="exact"/>
        <w:ind w:firstLine="600" w:firstLineChars="200"/>
        <w:rPr>
          <w:rFonts w:eastAsia="仿宋"/>
          <w:color w:val="auto"/>
          <w:kern w:val="21"/>
          <w:sz w:val="30"/>
          <w:szCs w:val="30"/>
        </w:rPr>
      </w:pPr>
      <w:r>
        <w:rPr>
          <w:rFonts w:hint="eastAsia" w:eastAsia="仿宋"/>
          <w:color w:val="auto"/>
          <w:kern w:val="21"/>
          <w:sz w:val="30"/>
          <w:szCs w:val="30"/>
        </w:rPr>
        <w:t>（二）</w:t>
      </w:r>
      <w:r>
        <w:rPr>
          <w:rFonts w:hint="eastAsia" w:eastAsia="仿宋"/>
          <w:color w:val="auto"/>
          <w:kern w:val="21"/>
          <w:sz w:val="30"/>
          <w:szCs w:val="30"/>
          <w:lang w:val="en-US" w:eastAsia="zh-CN"/>
        </w:rPr>
        <w:t>土石方类型</w:t>
      </w:r>
      <w:r>
        <w:rPr>
          <w:rFonts w:hint="eastAsia" w:eastAsia="仿宋"/>
          <w:color w:val="auto"/>
          <w:kern w:val="21"/>
          <w:sz w:val="30"/>
          <w:szCs w:val="30"/>
        </w:rPr>
        <w:t>：</w:t>
      </w:r>
      <w:r>
        <w:rPr>
          <w:rFonts w:hint="eastAsia" w:ascii="仿宋_GB2312" w:hAnsi="仿宋_GB2312" w:cs="仿宋_GB2312"/>
          <w:color w:val="333333"/>
          <w:sz w:val="30"/>
          <w:szCs w:val="30"/>
          <w:u w:val="single"/>
          <w:shd w:val="clear" w:color="auto" w:fill="FFFFFF"/>
          <w:lang w:val="en-US" w:eastAsia="zh-CN"/>
        </w:rPr>
        <w:t>建筑用</w:t>
      </w:r>
      <w:r>
        <w:rPr>
          <w:rFonts w:hint="eastAsia" w:ascii="仿宋_GB2312" w:hAnsi="仿宋_GB2312" w:eastAsia="仿宋_GB2312" w:cs="仿宋_GB2312"/>
          <w:color w:val="333333"/>
          <w:sz w:val="30"/>
          <w:szCs w:val="30"/>
          <w:u w:val="single"/>
          <w:shd w:val="clear" w:color="auto" w:fill="FFFFFF"/>
        </w:rPr>
        <w:t>花岗岩</w:t>
      </w:r>
      <w:r>
        <w:rPr>
          <w:rFonts w:hint="eastAsia" w:eastAsia="仿宋"/>
          <w:color w:val="auto"/>
          <w:kern w:val="21"/>
          <w:sz w:val="30"/>
          <w:szCs w:val="30"/>
          <w:u w:val="single"/>
        </w:rPr>
        <w:t>　　　　　</w:t>
      </w:r>
      <w:r>
        <w:rPr>
          <w:rFonts w:hint="eastAsia" w:eastAsia="仿宋"/>
          <w:color w:val="auto"/>
          <w:kern w:val="21"/>
          <w:sz w:val="30"/>
          <w:szCs w:val="30"/>
          <w:u w:val="single"/>
          <w:lang w:val="en-US" w:eastAsia="zh-CN"/>
        </w:rPr>
        <w:t xml:space="preserve">     </w:t>
      </w:r>
      <w:r>
        <w:rPr>
          <w:rFonts w:hint="eastAsia" w:eastAsia="仿宋"/>
          <w:color w:val="auto"/>
          <w:kern w:val="21"/>
          <w:sz w:val="30"/>
          <w:szCs w:val="30"/>
          <w:u w:val="single"/>
        </w:rPr>
        <w:t>　　　　　　</w:t>
      </w:r>
    </w:p>
    <w:p w14:paraId="553635C0">
      <w:pPr>
        <w:spacing w:line="560" w:lineRule="exact"/>
        <w:ind w:firstLine="600" w:firstLineChars="200"/>
        <w:rPr>
          <w:rFonts w:hint="eastAsia" w:ascii="仿宋" w:hAnsi="仿宋" w:eastAsia="仿宋" w:cs="Times New Roman"/>
          <w:sz w:val="30"/>
          <w:szCs w:val="30"/>
          <w:lang w:eastAsia="zh-CN"/>
        </w:rPr>
      </w:pPr>
      <w:r>
        <w:rPr>
          <w:rFonts w:hint="eastAsia" w:eastAsia="仿宋"/>
          <w:color w:val="auto"/>
          <w:kern w:val="21"/>
          <w:sz w:val="30"/>
          <w:szCs w:val="30"/>
        </w:rPr>
        <w:t>（三）地理位置：</w:t>
      </w:r>
      <w:r>
        <w:rPr>
          <w:rFonts w:hint="eastAsia" w:ascii="仿宋_GB2312" w:hAnsi="仿宋_GB2312" w:cs="仿宋_GB2312"/>
          <w:color w:val="333333"/>
          <w:sz w:val="30"/>
          <w:szCs w:val="30"/>
          <w:u w:val="single"/>
          <w:shd w:val="clear" w:color="auto" w:fill="FFFFFF"/>
          <w:lang w:val="en-US" w:eastAsia="zh-CN"/>
        </w:rPr>
        <w:t>惠州市惠城区小金口街道惠博大道北侧、鸿基千江月西侧的白石西区FMA-04-03-03-01地块</w:t>
      </w:r>
      <w:r>
        <w:rPr>
          <w:rFonts w:hint="eastAsia" w:ascii="仿宋" w:hAnsi="仿宋" w:eastAsia="仿宋" w:cs="Times New Roman"/>
          <w:sz w:val="30"/>
          <w:szCs w:val="30"/>
          <w:lang w:eastAsia="zh-CN"/>
        </w:rPr>
        <w:t>。</w:t>
      </w:r>
    </w:p>
    <w:p w14:paraId="10422CDC">
      <w:pPr>
        <w:spacing w:line="560" w:lineRule="exact"/>
        <w:ind w:firstLine="600" w:firstLineChars="200"/>
        <w:rPr>
          <w:rFonts w:hint="eastAsia" w:ascii="仿宋" w:hAnsi="仿宋" w:eastAsia="仿宋" w:cs="Times New Roman"/>
          <w:sz w:val="30"/>
          <w:szCs w:val="30"/>
          <w:lang w:eastAsia="zh-CN"/>
        </w:rPr>
      </w:pPr>
      <w:r>
        <w:rPr>
          <w:rFonts w:hint="eastAsia" w:eastAsia="仿宋"/>
          <w:color w:val="auto"/>
          <w:kern w:val="21"/>
          <w:sz w:val="30"/>
          <w:szCs w:val="30"/>
        </w:rPr>
        <w:t>（四）资源量：</w:t>
      </w:r>
      <w:r>
        <w:rPr>
          <w:rFonts w:hint="eastAsia" w:ascii="仿宋_GB2312" w:hAnsi="仿宋_GB2312" w:cs="仿宋_GB2312"/>
          <w:color w:val="333333"/>
          <w:sz w:val="30"/>
          <w:szCs w:val="30"/>
          <w:u w:val="single"/>
          <w:shd w:val="clear" w:color="auto" w:fill="FFFFFF"/>
          <w:lang w:val="en-US" w:eastAsia="zh-CN"/>
        </w:rPr>
        <w:t>惠州市惠城区白沙堆山体安全治理项目土石方总量为</w:t>
      </w:r>
      <w:r>
        <w:rPr>
          <w:rFonts w:hint="default" w:ascii="仿宋_GB2312" w:hAnsi="仿宋_GB2312" w:cs="仿宋_GB2312"/>
          <w:color w:val="333333"/>
          <w:sz w:val="30"/>
          <w:szCs w:val="30"/>
          <w:u w:val="single"/>
          <w:shd w:val="clear" w:color="auto" w:fill="FFFFFF"/>
          <w:lang w:val="en-US" w:eastAsia="zh-CN"/>
        </w:rPr>
        <w:t>47</w:t>
      </w:r>
      <w:r>
        <w:rPr>
          <w:rFonts w:hint="eastAsia" w:ascii="仿宋_GB2312" w:hAnsi="仿宋_GB2312" w:cs="仿宋_GB2312"/>
          <w:color w:val="333333"/>
          <w:sz w:val="30"/>
          <w:szCs w:val="30"/>
          <w:u w:val="single"/>
          <w:shd w:val="clear" w:color="auto" w:fill="FFFFFF"/>
          <w:lang w:val="en-US" w:eastAsia="zh-CN"/>
        </w:rPr>
        <w:t>.</w:t>
      </w:r>
      <w:r>
        <w:rPr>
          <w:rFonts w:hint="default" w:ascii="仿宋_GB2312" w:hAnsi="仿宋_GB2312" w:cs="仿宋_GB2312"/>
          <w:color w:val="333333"/>
          <w:sz w:val="30"/>
          <w:szCs w:val="30"/>
          <w:u w:val="single"/>
          <w:shd w:val="clear" w:color="auto" w:fill="FFFFFF"/>
          <w:lang w:val="en-US" w:eastAsia="zh-CN"/>
        </w:rPr>
        <w:t>4558</w:t>
      </w:r>
      <w:r>
        <w:rPr>
          <w:rFonts w:hint="eastAsia" w:ascii="仿宋_GB2312" w:hAnsi="仿宋_GB2312" w:cs="仿宋_GB2312"/>
          <w:color w:val="333333"/>
          <w:sz w:val="30"/>
          <w:szCs w:val="30"/>
          <w:u w:val="single"/>
          <w:shd w:val="clear" w:color="auto" w:fill="FFFFFF"/>
          <w:lang w:val="en-US" w:eastAsia="zh-CN"/>
        </w:rPr>
        <w:t>万m³，其中≥12mm 的石方量41.4555万m³，＜12mm的土方量6.0003万m³。（以现场实际为准）</w:t>
      </w:r>
    </w:p>
    <w:p w14:paraId="71B454FE">
      <w:pPr>
        <w:spacing w:line="560" w:lineRule="exact"/>
        <w:ind w:firstLine="600" w:firstLineChars="200"/>
        <w:rPr>
          <w:rFonts w:hint="eastAsia" w:ascii="仿宋_GB2312" w:hAnsi="仿宋_GB2312" w:eastAsia="仿宋_GB2312" w:cs="仿宋_GB2312"/>
          <w:color w:val="333333"/>
          <w:sz w:val="30"/>
          <w:szCs w:val="30"/>
          <w:u w:val="single"/>
          <w:shd w:val="clear" w:color="auto" w:fill="FFFFFF"/>
          <w:lang w:val="en-US" w:eastAsia="zh-CN"/>
        </w:rPr>
      </w:pPr>
      <w:r>
        <w:rPr>
          <w:rFonts w:hint="eastAsia" w:eastAsia="仿宋"/>
          <w:color w:val="auto"/>
          <w:kern w:val="21"/>
          <w:sz w:val="30"/>
          <w:szCs w:val="30"/>
        </w:rPr>
        <w:t>（</w:t>
      </w:r>
      <w:r>
        <w:rPr>
          <w:rFonts w:hint="eastAsia" w:eastAsia="仿宋"/>
          <w:color w:val="auto"/>
          <w:kern w:val="21"/>
          <w:sz w:val="30"/>
          <w:szCs w:val="30"/>
          <w:lang w:val="en-US" w:eastAsia="zh-CN"/>
        </w:rPr>
        <w:t>五</w:t>
      </w:r>
      <w:r>
        <w:rPr>
          <w:rFonts w:hint="eastAsia" w:eastAsia="仿宋"/>
          <w:color w:val="auto"/>
          <w:kern w:val="21"/>
          <w:sz w:val="30"/>
          <w:szCs w:val="30"/>
        </w:rPr>
        <w:t>）面　　积：</w:t>
      </w:r>
      <w:r>
        <w:rPr>
          <w:rFonts w:hint="eastAsia" w:ascii="仿宋_GB2312" w:hAnsi="仿宋_GB2312" w:cs="仿宋_GB2312"/>
          <w:color w:val="333333"/>
          <w:sz w:val="30"/>
          <w:szCs w:val="30"/>
          <w:u w:val="single"/>
          <w:shd w:val="clear" w:color="auto" w:fill="FFFFFF"/>
          <w:lang w:val="en-US" w:eastAsia="zh-CN"/>
        </w:rPr>
        <w:t>惠州市惠城区白沙堆山体安全治理项目范围</w:t>
      </w:r>
      <w:r>
        <w:rPr>
          <w:rFonts w:hint="eastAsia" w:ascii="仿宋" w:hAnsi="仿宋" w:eastAsia="仿宋" w:cs="Times New Roman"/>
          <w:sz w:val="30"/>
          <w:szCs w:val="30"/>
          <w:highlight w:val="none"/>
          <w:lang w:eastAsia="zh-CN"/>
        </w:rPr>
        <w:t>（</w:t>
      </w:r>
      <w:r>
        <w:rPr>
          <w:rFonts w:hint="eastAsia" w:ascii="仿宋" w:hAnsi="仿宋" w:eastAsia="仿宋" w:cs="Times New Roman"/>
          <w:sz w:val="30"/>
          <w:szCs w:val="30"/>
          <w:highlight w:val="none"/>
        </w:rPr>
        <w:t>地理</w:t>
      </w:r>
      <w:r>
        <w:rPr>
          <w:rFonts w:hint="eastAsia" w:ascii="仿宋" w:hAnsi="仿宋" w:eastAsia="仿宋" w:cs="Times New Roman"/>
          <w:sz w:val="30"/>
          <w:szCs w:val="30"/>
          <w:highlight w:val="none"/>
          <w:lang w:val="en-US" w:eastAsia="zh-CN"/>
        </w:rPr>
        <w:t>坐标</w:t>
      </w:r>
      <w:r>
        <w:rPr>
          <w:rFonts w:hint="eastAsia" w:ascii="仿宋" w:hAnsi="仿宋" w:eastAsia="仿宋" w:cs="Times New Roman"/>
          <w:sz w:val="30"/>
          <w:szCs w:val="30"/>
          <w:highlight w:val="none"/>
        </w:rPr>
        <w:t>：中心坐标为</w:t>
      </w:r>
      <w:r>
        <w:rPr>
          <w:rFonts w:hint="eastAsia" w:ascii="仿宋" w:hAnsi="仿宋" w:eastAsia="仿宋" w:cs="Times New Roman"/>
          <w:sz w:val="30"/>
          <w:szCs w:val="30"/>
          <w:highlight w:val="none"/>
          <w:lang w:val="en-US" w:eastAsia="zh-CN"/>
        </w:rPr>
        <w:t>东经</w:t>
      </w:r>
      <w:r>
        <w:rPr>
          <w:rFonts w:hint="eastAsia" w:ascii="仿宋" w:hAnsi="仿宋" w:eastAsia="仿宋" w:cs="Times New Roman"/>
          <w:sz w:val="30"/>
          <w:szCs w:val="30"/>
          <w:highlight w:val="none"/>
        </w:rPr>
        <w:t>114°2</w:t>
      </w:r>
      <w:r>
        <w:rPr>
          <w:rFonts w:hint="eastAsia" w:ascii="仿宋" w:hAnsi="仿宋" w:eastAsia="仿宋" w:cs="Times New Roman"/>
          <w:sz w:val="30"/>
          <w:szCs w:val="30"/>
          <w:highlight w:val="none"/>
          <w:lang w:val="en-US" w:eastAsia="zh-CN"/>
        </w:rPr>
        <w:t>0</w:t>
      </w:r>
      <w:r>
        <w:rPr>
          <w:rFonts w:hint="eastAsia" w:ascii="仿宋" w:hAnsi="仿宋" w:eastAsia="仿宋" w:cs="Times New Roman"/>
          <w:sz w:val="30"/>
          <w:szCs w:val="30"/>
          <w:highlight w:val="none"/>
        </w:rPr>
        <w:t>'</w:t>
      </w:r>
      <w:r>
        <w:rPr>
          <w:rFonts w:hint="eastAsia" w:ascii="仿宋" w:hAnsi="仿宋" w:eastAsia="仿宋" w:cs="Times New Roman"/>
          <w:sz w:val="30"/>
          <w:szCs w:val="30"/>
          <w:highlight w:val="none"/>
          <w:lang w:val="en-US" w:eastAsia="zh-CN"/>
        </w:rPr>
        <w:t>37.11</w:t>
      </w:r>
      <w:r>
        <w:rPr>
          <w:rFonts w:hint="eastAsia" w:ascii="仿宋" w:hAnsi="仿宋" w:eastAsia="仿宋" w:cs="Times New Roman"/>
          <w:sz w:val="30"/>
          <w:szCs w:val="30"/>
          <w:highlight w:val="none"/>
        </w:rPr>
        <w:t>"，北纬23°</w:t>
      </w:r>
      <w:r>
        <w:rPr>
          <w:rFonts w:hint="eastAsia" w:ascii="仿宋" w:hAnsi="仿宋" w:eastAsia="仿宋" w:cs="Times New Roman"/>
          <w:sz w:val="30"/>
          <w:szCs w:val="30"/>
          <w:highlight w:val="none"/>
          <w:lang w:val="en-US" w:eastAsia="zh-CN"/>
        </w:rPr>
        <w:t>09</w:t>
      </w:r>
      <w:r>
        <w:rPr>
          <w:rFonts w:hint="eastAsia" w:ascii="仿宋" w:hAnsi="仿宋" w:eastAsia="仿宋" w:cs="Times New Roman"/>
          <w:sz w:val="30"/>
          <w:szCs w:val="30"/>
          <w:highlight w:val="none"/>
        </w:rPr>
        <w:t>'</w:t>
      </w:r>
      <w:r>
        <w:rPr>
          <w:rFonts w:hint="eastAsia" w:ascii="仿宋" w:hAnsi="仿宋" w:eastAsia="仿宋" w:cs="Times New Roman"/>
          <w:sz w:val="30"/>
          <w:szCs w:val="30"/>
          <w:highlight w:val="none"/>
          <w:lang w:val="en-US" w:eastAsia="zh-CN"/>
        </w:rPr>
        <w:t>03.39</w:t>
      </w:r>
      <w:r>
        <w:rPr>
          <w:rFonts w:hint="eastAsia" w:ascii="仿宋" w:hAnsi="仿宋" w:eastAsia="仿宋" w:cs="Times New Roman"/>
          <w:sz w:val="30"/>
          <w:szCs w:val="30"/>
          <w:highlight w:val="none"/>
        </w:rPr>
        <w:t>"</w:t>
      </w:r>
      <w:r>
        <w:rPr>
          <w:rFonts w:hint="eastAsia" w:ascii="仿宋" w:hAnsi="仿宋" w:eastAsia="仿宋" w:cs="Times New Roman"/>
          <w:sz w:val="30"/>
          <w:szCs w:val="30"/>
          <w:highlight w:val="none"/>
          <w:lang w:eastAsia="zh-CN"/>
        </w:rPr>
        <w:t>）</w:t>
      </w:r>
      <w:r>
        <w:rPr>
          <w:rFonts w:hint="eastAsia" w:ascii="仿宋" w:hAnsi="仿宋" w:eastAsia="仿宋" w:cs="Times New Roman"/>
          <w:sz w:val="30"/>
          <w:szCs w:val="30"/>
          <w:highlight w:val="none"/>
        </w:rPr>
        <w:t>，</w:t>
      </w:r>
      <w:r>
        <w:rPr>
          <w:rFonts w:hint="eastAsia" w:ascii="仿宋" w:hAnsi="仿宋" w:eastAsia="仿宋" w:cs="Times New Roman"/>
          <w:sz w:val="30"/>
          <w:szCs w:val="30"/>
          <w:lang w:val="en-US" w:eastAsia="zh-CN"/>
        </w:rPr>
        <w:t>面积</w:t>
      </w:r>
      <w:r>
        <w:rPr>
          <w:rFonts w:hint="eastAsia" w:ascii="仿宋_GB2312" w:hAnsi="仿宋_GB2312" w:cs="仿宋_GB2312"/>
          <w:color w:val="333333"/>
          <w:sz w:val="30"/>
          <w:szCs w:val="30"/>
          <w:u w:val="single"/>
          <w:shd w:val="clear" w:color="auto" w:fill="FFFFFF"/>
          <w:lang w:val="en-US" w:eastAsia="zh-CN"/>
        </w:rPr>
        <w:t>0.049㎞²</w:t>
      </w:r>
      <w:r>
        <w:rPr>
          <w:rFonts w:hint="eastAsia" w:ascii="仿宋" w:hAnsi="仿宋" w:eastAsia="仿宋" w:cs="Times New Roman"/>
          <w:sz w:val="30"/>
          <w:szCs w:val="30"/>
          <w:lang w:eastAsia="zh-CN"/>
        </w:rPr>
        <w:t>。</w:t>
      </w:r>
    </w:p>
    <w:p w14:paraId="77F0B79A">
      <w:pPr>
        <w:spacing w:line="560" w:lineRule="exact"/>
        <w:ind w:firstLine="600" w:firstLineChars="200"/>
        <w:rPr>
          <w:rFonts w:hint="eastAsia" w:ascii="仿宋_GB2312" w:hAnsi="仿宋_GB2312" w:eastAsia="仿宋_GB2312" w:cs="仿宋_GB2312"/>
          <w:color w:val="auto"/>
          <w:kern w:val="21"/>
          <w:sz w:val="30"/>
          <w:szCs w:val="30"/>
          <w:u w:val="single"/>
          <w:lang w:eastAsia="zh-CN"/>
        </w:rPr>
      </w:pPr>
      <w:r>
        <w:rPr>
          <w:rFonts w:hint="eastAsia" w:eastAsia="仿宋"/>
          <w:color w:val="auto"/>
          <w:kern w:val="21"/>
          <w:sz w:val="30"/>
          <w:szCs w:val="30"/>
        </w:rPr>
        <w:t>（</w:t>
      </w:r>
      <w:r>
        <w:rPr>
          <w:rFonts w:hint="eastAsia" w:eastAsia="仿宋"/>
          <w:color w:val="auto"/>
          <w:kern w:val="21"/>
          <w:sz w:val="30"/>
          <w:szCs w:val="30"/>
          <w:lang w:val="en-US" w:eastAsia="zh-CN"/>
        </w:rPr>
        <w:t>六</w:t>
      </w:r>
      <w:r>
        <w:rPr>
          <w:rFonts w:hint="eastAsia" w:eastAsia="仿宋"/>
          <w:color w:val="auto"/>
          <w:kern w:val="21"/>
          <w:sz w:val="30"/>
          <w:szCs w:val="30"/>
        </w:rPr>
        <w:t>）</w:t>
      </w:r>
      <w:r>
        <w:rPr>
          <w:rFonts w:hint="eastAsia" w:ascii="仿宋_GB2312" w:hAnsi="仿宋_GB2312" w:eastAsia="仿宋_GB2312" w:cs="仿宋_GB2312"/>
          <w:color w:val="auto"/>
          <w:kern w:val="21"/>
          <w:sz w:val="30"/>
          <w:szCs w:val="30"/>
        </w:rPr>
        <w:t>开采</w:t>
      </w:r>
      <w:r>
        <w:rPr>
          <w:rFonts w:hint="eastAsia" w:ascii="仿宋_GB2312" w:hAnsi="仿宋_GB2312" w:eastAsia="仿宋_GB2312" w:cs="仿宋_GB2312"/>
          <w:color w:val="auto"/>
          <w:kern w:val="21"/>
          <w:sz w:val="30"/>
          <w:szCs w:val="30"/>
          <w:lang w:val="en-US" w:eastAsia="zh-CN"/>
        </w:rPr>
        <w:t>方式</w:t>
      </w:r>
      <w:r>
        <w:rPr>
          <w:rFonts w:hint="eastAsia" w:ascii="仿宋_GB2312" w:hAnsi="仿宋_GB2312" w:eastAsia="仿宋_GB2312" w:cs="仿宋_GB2312"/>
          <w:color w:val="auto"/>
          <w:kern w:val="21"/>
          <w:sz w:val="30"/>
          <w:szCs w:val="30"/>
        </w:rPr>
        <w:t>：</w:t>
      </w:r>
      <w:r>
        <w:rPr>
          <w:rFonts w:hint="eastAsia" w:ascii="仿宋_GB2312" w:hAnsi="仿宋_GB2312" w:eastAsia="仿宋_GB2312" w:cs="仿宋_GB2312"/>
          <w:color w:val="auto"/>
          <w:kern w:val="21"/>
          <w:sz w:val="30"/>
          <w:szCs w:val="30"/>
          <w:u w:val="single"/>
        </w:rPr>
        <w:t>露天作业、运输</w:t>
      </w:r>
    </w:p>
    <w:p w14:paraId="73BB1094">
      <w:pPr>
        <w:spacing w:line="560" w:lineRule="exact"/>
        <w:ind w:firstLine="640" w:firstLineChars="200"/>
        <w:rPr>
          <w:rFonts w:eastAsia="仿宋"/>
          <w:color w:val="auto"/>
          <w:kern w:val="21"/>
          <w:szCs w:val="32"/>
        </w:rPr>
      </w:pPr>
      <w:r>
        <w:rPr>
          <w:rFonts w:hint="eastAsia" w:ascii="黑体" w:hAnsi="黑体" w:eastAsia="黑体"/>
          <w:color w:val="auto"/>
          <w:kern w:val="21"/>
          <w:szCs w:val="32"/>
        </w:rPr>
        <w:t>第二条</w:t>
      </w:r>
      <w:r>
        <w:rPr>
          <w:rFonts w:hint="eastAsia" w:eastAsia="仿宋"/>
          <w:color w:val="auto"/>
          <w:kern w:val="21"/>
          <w:szCs w:val="32"/>
        </w:rPr>
        <w:t>　</w:t>
      </w:r>
      <w:r>
        <w:rPr>
          <w:rFonts w:hint="eastAsia" w:ascii="黑体" w:hAnsi="黑体" w:eastAsia="黑体"/>
          <w:color w:val="auto"/>
          <w:kern w:val="21"/>
          <w:szCs w:val="32"/>
          <w:lang w:val="en-US" w:eastAsia="zh-CN"/>
        </w:rPr>
        <w:t>销售</w:t>
      </w:r>
      <w:r>
        <w:rPr>
          <w:rFonts w:hint="eastAsia" w:ascii="黑体" w:hAnsi="黑体" w:eastAsia="黑体"/>
          <w:color w:val="auto"/>
          <w:kern w:val="21"/>
          <w:szCs w:val="32"/>
        </w:rPr>
        <w:t>方式</w:t>
      </w:r>
    </w:p>
    <w:p w14:paraId="11BAB598">
      <w:pPr>
        <w:spacing w:line="560" w:lineRule="exact"/>
        <w:ind w:firstLine="600" w:firstLineChars="200"/>
        <w:rPr>
          <w:rFonts w:eastAsia="仿宋"/>
          <w:bCs/>
          <w:color w:val="auto"/>
          <w:kern w:val="21"/>
          <w:sz w:val="30"/>
          <w:szCs w:val="30"/>
        </w:rPr>
      </w:pPr>
      <w:r>
        <w:rPr>
          <w:rFonts w:hint="eastAsia" w:eastAsia="仿宋"/>
          <w:bCs/>
          <w:color w:val="auto"/>
          <w:kern w:val="21"/>
          <w:sz w:val="30"/>
          <w:szCs w:val="30"/>
        </w:rPr>
        <w:t>（一）</w:t>
      </w:r>
      <w:r>
        <w:rPr>
          <w:rFonts w:hint="eastAsia" w:eastAsia="仿宋"/>
          <w:bCs/>
          <w:color w:val="auto"/>
          <w:kern w:val="21"/>
          <w:sz w:val="30"/>
          <w:szCs w:val="30"/>
          <w:lang w:val="en-US" w:eastAsia="zh-CN"/>
        </w:rPr>
        <w:t>该处</w:t>
      </w:r>
      <w:r>
        <w:rPr>
          <w:rFonts w:hint="eastAsia" w:eastAsia="仿宋"/>
          <w:kern w:val="21"/>
          <w:sz w:val="30"/>
          <w:szCs w:val="30"/>
          <w:lang w:val="en-US" w:eastAsia="zh-CN"/>
        </w:rPr>
        <w:t>土石方</w:t>
      </w:r>
      <w:r>
        <w:rPr>
          <w:rFonts w:hint="eastAsia" w:eastAsia="仿宋"/>
          <w:bCs/>
          <w:color w:val="auto"/>
          <w:kern w:val="21"/>
          <w:sz w:val="30"/>
          <w:szCs w:val="30"/>
          <w:lang w:val="en-US" w:eastAsia="zh-CN"/>
        </w:rPr>
        <w:t>资源</w:t>
      </w:r>
      <w:r>
        <w:rPr>
          <w:rFonts w:hint="eastAsia" w:eastAsia="仿宋"/>
          <w:bCs/>
          <w:color w:val="auto"/>
          <w:kern w:val="21"/>
          <w:sz w:val="30"/>
          <w:szCs w:val="30"/>
        </w:rPr>
        <w:t>以</w:t>
      </w:r>
      <w:r>
        <w:rPr>
          <w:rFonts w:hint="eastAsia" w:ascii="Times New Roman" w:hAnsi="Times New Roman" w:eastAsia="仿宋" w:cs="Times New Roman"/>
          <w:color w:val="auto"/>
          <w:kern w:val="21"/>
          <w:sz w:val="30"/>
          <w:szCs w:val="30"/>
          <w:u w:val="single"/>
          <w:lang w:val="en-US" w:eastAsia="zh-CN"/>
        </w:rPr>
        <w:t xml:space="preserve"> </w:t>
      </w:r>
      <w:r>
        <w:rPr>
          <w:rFonts w:hint="eastAsia" w:ascii="Times New Roman" w:hAnsi="Times New Roman" w:eastAsia="仿宋" w:cs="Times New Roman"/>
          <w:color w:val="auto"/>
          <w:kern w:val="21"/>
          <w:sz w:val="30"/>
          <w:szCs w:val="30"/>
          <w:u w:val="single"/>
        </w:rPr>
        <w:t>露</w:t>
      </w:r>
      <w:r>
        <w:rPr>
          <w:rFonts w:hint="eastAsia" w:eastAsia="仿宋"/>
          <w:color w:val="auto"/>
          <w:kern w:val="21"/>
          <w:sz w:val="30"/>
          <w:szCs w:val="30"/>
          <w:u w:val="single"/>
        </w:rPr>
        <w:t>天作业、运输</w:t>
      </w:r>
      <w:r>
        <w:rPr>
          <w:rFonts w:hint="eastAsia" w:eastAsia="仿宋"/>
          <w:color w:val="auto"/>
          <w:kern w:val="21"/>
          <w:sz w:val="30"/>
          <w:szCs w:val="30"/>
          <w:u w:val="single"/>
          <w:lang w:val="en-US" w:eastAsia="zh-CN"/>
        </w:rPr>
        <w:t xml:space="preserve"> </w:t>
      </w:r>
      <w:r>
        <w:rPr>
          <w:rFonts w:hint="eastAsia" w:eastAsia="仿宋"/>
          <w:bCs/>
          <w:color w:val="auto"/>
          <w:kern w:val="21"/>
          <w:sz w:val="30"/>
          <w:szCs w:val="30"/>
          <w:lang w:val="en-US" w:eastAsia="zh-CN"/>
        </w:rPr>
        <w:t>方式销售</w:t>
      </w:r>
      <w:r>
        <w:rPr>
          <w:rFonts w:hint="eastAsia" w:eastAsia="仿宋"/>
          <w:bCs/>
          <w:color w:val="auto"/>
          <w:kern w:val="21"/>
          <w:sz w:val="30"/>
          <w:szCs w:val="30"/>
        </w:rPr>
        <w:t>。</w:t>
      </w:r>
    </w:p>
    <w:p w14:paraId="530353FB">
      <w:pPr>
        <w:spacing w:line="560" w:lineRule="exact"/>
        <w:ind w:firstLine="600" w:firstLineChars="200"/>
        <w:rPr>
          <w:rFonts w:eastAsia="仿宋"/>
          <w:bCs/>
          <w:color w:val="auto"/>
          <w:kern w:val="21"/>
          <w:sz w:val="30"/>
          <w:szCs w:val="30"/>
          <w:u w:val="single"/>
        </w:rPr>
      </w:pPr>
      <w:r>
        <w:rPr>
          <w:rFonts w:hint="eastAsia" w:eastAsia="仿宋"/>
          <w:bCs/>
          <w:color w:val="auto"/>
          <w:kern w:val="21"/>
          <w:sz w:val="30"/>
          <w:szCs w:val="30"/>
        </w:rPr>
        <w:t>（二）实施</w:t>
      </w:r>
      <w:r>
        <w:rPr>
          <w:rFonts w:hint="eastAsia" w:eastAsia="仿宋"/>
          <w:bCs/>
          <w:color w:val="auto"/>
          <w:kern w:val="21"/>
          <w:sz w:val="30"/>
          <w:szCs w:val="30"/>
          <w:lang w:val="en-US" w:eastAsia="zh-CN"/>
        </w:rPr>
        <w:t>拍卖销售</w:t>
      </w:r>
      <w:r>
        <w:rPr>
          <w:rFonts w:hint="eastAsia" w:eastAsia="仿宋"/>
          <w:bCs/>
          <w:color w:val="auto"/>
          <w:kern w:val="21"/>
          <w:sz w:val="30"/>
          <w:szCs w:val="30"/>
        </w:rPr>
        <w:t>的</w:t>
      </w:r>
      <w:r>
        <w:rPr>
          <w:rFonts w:hint="eastAsia" w:eastAsia="仿宋"/>
          <w:bCs/>
          <w:color w:val="auto"/>
          <w:kern w:val="21"/>
          <w:sz w:val="30"/>
          <w:szCs w:val="30"/>
          <w:lang w:val="en-US" w:eastAsia="zh-CN"/>
        </w:rPr>
        <w:t>公共资源</w:t>
      </w:r>
      <w:r>
        <w:rPr>
          <w:rFonts w:hint="eastAsia" w:eastAsia="仿宋"/>
          <w:bCs/>
          <w:color w:val="auto"/>
          <w:kern w:val="21"/>
          <w:sz w:val="30"/>
          <w:szCs w:val="30"/>
        </w:rPr>
        <w:t>交易平台：</w:t>
      </w:r>
      <w:r>
        <w:rPr>
          <w:rFonts w:hint="eastAsia" w:eastAsia="仿宋"/>
          <w:color w:val="auto"/>
          <w:kern w:val="21"/>
          <w:sz w:val="30"/>
          <w:szCs w:val="30"/>
          <w:u w:val="single"/>
        </w:rPr>
        <w:t>　　　</w:t>
      </w:r>
      <w:r>
        <w:rPr>
          <w:rFonts w:hint="eastAsia" w:eastAsia="仿宋"/>
          <w:color w:val="auto"/>
          <w:kern w:val="21"/>
          <w:sz w:val="30"/>
          <w:szCs w:val="30"/>
          <w:u w:val="single"/>
          <w:lang w:val="en-US" w:eastAsia="zh-CN"/>
        </w:rPr>
        <w:t xml:space="preserve">          </w:t>
      </w:r>
      <w:r>
        <w:rPr>
          <w:rFonts w:hint="eastAsia" w:eastAsia="仿宋"/>
          <w:color w:val="auto"/>
          <w:kern w:val="21"/>
          <w:sz w:val="30"/>
          <w:szCs w:val="30"/>
          <w:u w:val="single"/>
        </w:rPr>
        <w:t>　</w:t>
      </w:r>
    </w:p>
    <w:p w14:paraId="755FC482">
      <w:pPr>
        <w:spacing w:line="560" w:lineRule="exact"/>
        <w:ind w:firstLine="600" w:firstLineChars="200"/>
        <w:rPr>
          <w:rFonts w:eastAsia="仿宋"/>
          <w:bCs/>
          <w:color w:val="auto"/>
          <w:kern w:val="21"/>
          <w:sz w:val="30"/>
          <w:szCs w:val="30"/>
        </w:rPr>
      </w:pPr>
      <w:r>
        <w:rPr>
          <w:rFonts w:hint="eastAsia" w:eastAsia="仿宋"/>
          <w:bCs/>
          <w:color w:val="auto"/>
          <w:kern w:val="21"/>
          <w:sz w:val="30"/>
          <w:szCs w:val="30"/>
        </w:rPr>
        <w:t>场　　　所：</w:t>
      </w:r>
      <w:r>
        <w:rPr>
          <w:rFonts w:hint="eastAsia" w:eastAsia="仿宋"/>
          <w:color w:val="auto"/>
          <w:kern w:val="21"/>
          <w:sz w:val="30"/>
          <w:szCs w:val="30"/>
          <w:u w:val="single"/>
        </w:rPr>
        <w:t>　　　　　　　　　　　　　　　　</w:t>
      </w:r>
      <w:r>
        <w:rPr>
          <w:rFonts w:hint="eastAsia" w:eastAsia="仿宋"/>
          <w:color w:val="auto"/>
          <w:kern w:val="21"/>
          <w:sz w:val="30"/>
          <w:szCs w:val="30"/>
          <w:u w:val="single"/>
          <w:lang w:val="en-US" w:eastAsia="zh-CN"/>
        </w:rPr>
        <w:t xml:space="preserve">           </w:t>
      </w:r>
      <w:r>
        <w:rPr>
          <w:rFonts w:hint="eastAsia" w:eastAsia="仿宋"/>
          <w:color w:val="auto"/>
          <w:kern w:val="21"/>
          <w:sz w:val="30"/>
          <w:szCs w:val="30"/>
          <w:u w:val="single"/>
        </w:rPr>
        <w:t>　　</w:t>
      </w:r>
    </w:p>
    <w:p w14:paraId="0EA688EC">
      <w:pPr>
        <w:spacing w:line="560" w:lineRule="exact"/>
        <w:ind w:firstLine="600" w:firstLineChars="200"/>
        <w:rPr>
          <w:rFonts w:eastAsia="仿宋"/>
          <w:bCs/>
          <w:color w:val="auto"/>
          <w:kern w:val="21"/>
          <w:sz w:val="30"/>
          <w:szCs w:val="30"/>
        </w:rPr>
      </w:pPr>
      <w:r>
        <w:rPr>
          <w:rFonts w:hint="eastAsia" w:eastAsia="仿宋"/>
          <w:bCs/>
          <w:color w:val="auto"/>
          <w:kern w:val="21"/>
          <w:sz w:val="30"/>
          <w:szCs w:val="30"/>
        </w:rPr>
        <w:t>法定代表人：</w:t>
      </w:r>
      <w:r>
        <w:rPr>
          <w:rFonts w:hint="eastAsia" w:eastAsia="仿宋"/>
          <w:bCs/>
          <w:color w:val="auto"/>
          <w:kern w:val="21"/>
          <w:sz w:val="30"/>
          <w:szCs w:val="30"/>
          <w:u w:val="single"/>
        </w:rPr>
        <w:t>　　　　　　　　　　</w:t>
      </w:r>
      <w:r>
        <w:rPr>
          <w:rFonts w:hint="eastAsia" w:eastAsia="仿宋"/>
          <w:color w:val="auto"/>
          <w:kern w:val="21"/>
          <w:sz w:val="30"/>
          <w:szCs w:val="30"/>
          <w:u w:val="single"/>
        </w:rPr>
        <w:t>　　　</w:t>
      </w:r>
      <w:r>
        <w:rPr>
          <w:rFonts w:hint="eastAsia" w:eastAsia="仿宋"/>
          <w:color w:val="auto"/>
          <w:kern w:val="21"/>
          <w:sz w:val="30"/>
          <w:szCs w:val="30"/>
          <w:u w:val="single"/>
          <w:lang w:val="en-US" w:eastAsia="zh-CN"/>
        </w:rPr>
        <w:t xml:space="preserve">              </w:t>
      </w:r>
      <w:r>
        <w:rPr>
          <w:rFonts w:hint="eastAsia" w:eastAsia="仿宋"/>
          <w:color w:val="auto"/>
          <w:kern w:val="21"/>
          <w:sz w:val="30"/>
          <w:szCs w:val="30"/>
          <w:u w:val="single"/>
        </w:rPr>
        <w:t>　　　</w:t>
      </w:r>
    </w:p>
    <w:p w14:paraId="6A3A146B">
      <w:pPr>
        <w:spacing w:line="560" w:lineRule="exact"/>
        <w:ind w:firstLine="640" w:firstLineChars="200"/>
        <w:rPr>
          <w:rFonts w:hint="eastAsia" w:eastAsia="黑体"/>
          <w:color w:val="auto"/>
          <w:kern w:val="21"/>
          <w:szCs w:val="32"/>
          <w:highlight w:val="none"/>
          <w:lang w:eastAsia="zh-CN"/>
        </w:rPr>
      </w:pPr>
      <w:r>
        <w:rPr>
          <w:rFonts w:hint="eastAsia" w:ascii="黑体" w:hAnsi="黑体" w:eastAsia="黑体"/>
          <w:color w:val="auto"/>
          <w:kern w:val="21"/>
          <w:szCs w:val="32"/>
          <w:highlight w:val="none"/>
        </w:rPr>
        <w:t>第三条</w:t>
      </w:r>
      <w:r>
        <w:rPr>
          <w:rFonts w:hint="eastAsia" w:eastAsia="仿宋"/>
          <w:color w:val="auto"/>
          <w:kern w:val="21"/>
          <w:szCs w:val="32"/>
          <w:highlight w:val="none"/>
        </w:rPr>
        <w:t>　</w:t>
      </w:r>
      <w:r>
        <w:rPr>
          <w:rFonts w:hint="eastAsia" w:ascii="黑体" w:hAnsi="黑体" w:eastAsia="黑体"/>
          <w:color w:val="auto"/>
          <w:kern w:val="21"/>
          <w:szCs w:val="32"/>
          <w:highlight w:val="none"/>
          <w:lang w:eastAsia="zh-CN"/>
        </w:rPr>
        <w:t>外运</w:t>
      </w:r>
      <w:r>
        <w:rPr>
          <w:rFonts w:hint="eastAsia" w:ascii="黑体" w:hAnsi="黑体" w:eastAsia="黑体"/>
          <w:color w:val="auto"/>
          <w:kern w:val="21"/>
          <w:szCs w:val="32"/>
          <w:highlight w:val="none"/>
          <w:lang w:val="en-US" w:eastAsia="zh-CN"/>
        </w:rPr>
        <w:t>时间</w:t>
      </w:r>
    </w:p>
    <w:p w14:paraId="62C100E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仿宋"/>
          <w:color w:val="auto"/>
          <w:kern w:val="21"/>
          <w:sz w:val="30"/>
          <w:szCs w:val="30"/>
          <w:u w:val="none"/>
        </w:rPr>
      </w:pPr>
      <w:r>
        <w:rPr>
          <w:rFonts w:hint="eastAsia" w:eastAsia="仿宋"/>
          <w:kern w:val="21"/>
          <w:sz w:val="30"/>
          <w:szCs w:val="30"/>
          <w:lang w:val="en-US" w:eastAsia="zh-CN"/>
        </w:rPr>
        <w:t>土石方</w:t>
      </w:r>
      <w:r>
        <w:rPr>
          <w:rFonts w:hint="eastAsia" w:eastAsia="仿宋"/>
          <w:color w:val="auto"/>
          <w:kern w:val="21"/>
          <w:sz w:val="30"/>
          <w:szCs w:val="30"/>
          <w:u w:val="none"/>
          <w:lang w:val="en-US" w:eastAsia="zh-CN"/>
        </w:rPr>
        <w:t>资源外运时间</w:t>
      </w:r>
      <w:r>
        <w:rPr>
          <w:rFonts w:hint="eastAsia" w:ascii="仿宋_GB2312" w:hAnsi="仿宋_GB2312" w:cs="仿宋_GB2312"/>
          <w:color w:val="auto"/>
          <w:sz w:val="30"/>
          <w:szCs w:val="30"/>
          <w:shd w:val="clear" w:color="auto" w:fill="FFFFFF"/>
          <w:lang w:val="en-US" w:eastAsia="zh-CN"/>
        </w:rPr>
        <w:t>1</w:t>
      </w:r>
      <w:r>
        <w:rPr>
          <w:rFonts w:hint="eastAsia" w:ascii="仿宋_GB2312" w:hAnsi="仿宋_GB2312" w:eastAsia="仿宋_GB2312" w:cs="仿宋_GB2312"/>
          <w:color w:val="auto"/>
          <w:sz w:val="30"/>
          <w:szCs w:val="30"/>
          <w:shd w:val="clear" w:color="auto" w:fill="FFFFFF"/>
          <w:lang w:val="en-US" w:eastAsia="zh-CN"/>
        </w:rPr>
        <w:t>年</w:t>
      </w:r>
      <w:r>
        <w:rPr>
          <w:rFonts w:hint="eastAsia" w:eastAsia="仿宋"/>
          <w:color w:val="auto"/>
          <w:kern w:val="21"/>
          <w:sz w:val="30"/>
          <w:szCs w:val="30"/>
          <w:u w:val="none"/>
        </w:rPr>
        <w:t>，本处</w:t>
      </w:r>
      <w:r>
        <w:rPr>
          <w:rFonts w:hint="eastAsia" w:eastAsia="仿宋"/>
          <w:color w:val="auto"/>
          <w:kern w:val="21"/>
          <w:sz w:val="30"/>
          <w:szCs w:val="30"/>
          <w:lang w:val="en-US" w:eastAsia="zh-CN"/>
        </w:rPr>
        <w:t>土石方</w:t>
      </w:r>
      <w:r>
        <w:rPr>
          <w:rFonts w:hint="eastAsia" w:eastAsia="仿宋"/>
          <w:color w:val="auto"/>
          <w:kern w:val="21"/>
          <w:sz w:val="30"/>
          <w:szCs w:val="30"/>
          <w:u w:val="none"/>
        </w:rPr>
        <w:t>资源为</w:t>
      </w:r>
      <w:r>
        <w:rPr>
          <w:rFonts w:hint="eastAsia" w:eastAsia="仿宋"/>
          <w:color w:val="auto"/>
          <w:kern w:val="21"/>
          <w:sz w:val="30"/>
          <w:szCs w:val="30"/>
          <w:u w:val="none"/>
          <w:lang w:val="en-US" w:eastAsia="zh-CN"/>
        </w:rPr>
        <w:t>堆放在项目场地内的土石及生态修复</w:t>
      </w:r>
      <w:r>
        <w:rPr>
          <w:rFonts w:hint="eastAsia" w:ascii="仿宋" w:hAnsi="仿宋" w:eastAsia="仿宋" w:cs="Times New Roman"/>
          <w:color w:val="auto"/>
          <w:sz w:val="30"/>
          <w:szCs w:val="30"/>
          <w:lang w:eastAsia="zh-CN"/>
        </w:rPr>
        <w:t>将产生的</w:t>
      </w:r>
      <w:r>
        <w:rPr>
          <w:rFonts w:hint="eastAsia" w:ascii="仿宋" w:hAnsi="仿宋" w:eastAsia="仿宋" w:cs="Times New Roman"/>
          <w:color w:val="auto"/>
          <w:sz w:val="30"/>
          <w:szCs w:val="30"/>
          <w:lang w:val="en-US" w:eastAsia="zh-CN"/>
        </w:rPr>
        <w:t>土石</w:t>
      </w:r>
      <w:r>
        <w:rPr>
          <w:rFonts w:hint="eastAsia" w:eastAsia="仿宋"/>
          <w:color w:val="auto"/>
          <w:kern w:val="21"/>
          <w:sz w:val="30"/>
          <w:szCs w:val="30"/>
          <w:u w:val="none"/>
        </w:rPr>
        <w:t>，</w:t>
      </w:r>
      <w:r>
        <w:rPr>
          <w:rFonts w:hint="eastAsia" w:eastAsia="仿宋"/>
          <w:color w:val="auto"/>
          <w:kern w:val="21"/>
          <w:sz w:val="30"/>
          <w:szCs w:val="30"/>
          <w:u w:val="none"/>
          <w:lang w:val="en-US" w:eastAsia="zh-CN"/>
        </w:rPr>
        <w:t>需</w:t>
      </w:r>
      <w:r>
        <w:rPr>
          <w:rFonts w:hint="eastAsia" w:eastAsia="仿宋"/>
          <w:color w:val="auto"/>
          <w:kern w:val="21"/>
          <w:sz w:val="30"/>
          <w:szCs w:val="30"/>
          <w:highlight w:val="none"/>
          <w:u w:val="none"/>
        </w:rPr>
        <w:t>露天作业、运输</w:t>
      </w:r>
      <w:r>
        <w:rPr>
          <w:rFonts w:hint="eastAsia" w:eastAsia="仿宋"/>
          <w:color w:val="auto"/>
          <w:kern w:val="21"/>
          <w:sz w:val="30"/>
          <w:szCs w:val="30"/>
          <w:u w:val="none"/>
        </w:rPr>
        <w:t>。</w:t>
      </w:r>
      <w:r>
        <w:rPr>
          <w:rFonts w:hint="eastAsia" w:eastAsia="仿宋"/>
          <w:color w:val="auto"/>
          <w:kern w:val="21"/>
          <w:sz w:val="30"/>
          <w:szCs w:val="30"/>
          <w:u w:val="none"/>
          <w:lang w:eastAsia="zh-CN"/>
        </w:rPr>
        <w:t>乙方必须</w:t>
      </w:r>
      <w:r>
        <w:rPr>
          <w:rFonts w:hint="eastAsia" w:eastAsia="仿宋"/>
          <w:color w:val="auto"/>
          <w:kern w:val="21"/>
          <w:sz w:val="30"/>
          <w:szCs w:val="30"/>
          <w:u w:val="none"/>
        </w:rPr>
        <w:t>自签订</w:t>
      </w:r>
      <w:r>
        <w:rPr>
          <w:rFonts w:hint="eastAsia" w:eastAsia="仿宋"/>
          <w:color w:val="auto"/>
          <w:kern w:val="21"/>
          <w:sz w:val="30"/>
          <w:szCs w:val="30"/>
          <w:u w:val="none"/>
          <w:lang w:eastAsia="zh-CN"/>
        </w:rPr>
        <w:t>本</w:t>
      </w:r>
      <w:r>
        <w:rPr>
          <w:rFonts w:hint="eastAsia" w:eastAsia="仿宋"/>
          <w:color w:val="auto"/>
          <w:kern w:val="21"/>
          <w:sz w:val="30"/>
          <w:szCs w:val="30"/>
          <w:u w:val="none"/>
        </w:rPr>
        <w:t>销售合同之日</w:t>
      </w:r>
      <w:r>
        <w:rPr>
          <w:rFonts w:hint="eastAsia" w:eastAsia="仿宋"/>
          <w:color w:val="auto"/>
          <w:kern w:val="21"/>
          <w:sz w:val="30"/>
          <w:szCs w:val="30"/>
          <w:u w:val="none"/>
          <w:lang w:val="en-US" w:eastAsia="zh-CN"/>
        </w:rPr>
        <w:t>1</w:t>
      </w:r>
      <w:r>
        <w:rPr>
          <w:rFonts w:hint="eastAsia" w:eastAsia="仿宋"/>
          <w:color w:val="auto"/>
          <w:kern w:val="21"/>
          <w:sz w:val="30"/>
          <w:szCs w:val="30"/>
          <w:u w:val="none"/>
        </w:rPr>
        <w:t>年</w:t>
      </w:r>
      <w:r>
        <w:rPr>
          <w:rFonts w:hint="eastAsia" w:ascii="Times New Roman" w:hAnsi="Times New Roman" w:eastAsia="仿宋"/>
          <w:color w:val="auto"/>
          <w:kern w:val="21"/>
          <w:sz w:val="30"/>
          <w:szCs w:val="30"/>
          <w:u w:val="none"/>
        </w:rPr>
        <w:t>内完成</w:t>
      </w:r>
      <w:r>
        <w:rPr>
          <w:rFonts w:hint="eastAsia" w:eastAsia="仿宋"/>
          <w:color w:val="auto"/>
          <w:kern w:val="21"/>
          <w:sz w:val="30"/>
          <w:szCs w:val="30"/>
          <w:u w:val="none"/>
        </w:rPr>
        <w:t>本次销售</w:t>
      </w:r>
      <w:r>
        <w:rPr>
          <w:rFonts w:hint="eastAsia" w:eastAsia="仿宋"/>
          <w:color w:val="auto"/>
          <w:kern w:val="21"/>
          <w:sz w:val="30"/>
          <w:szCs w:val="30"/>
          <w:u w:val="none"/>
          <w:lang w:val="en-US" w:eastAsia="zh-CN"/>
        </w:rPr>
        <w:t>土石</w:t>
      </w:r>
      <w:r>
        <w:rPr>
          <w:rFonts w:hint="eastAsia" w:eastAsia="仿宋"/>
          <w:color w:val="auto"/>
          <w:kern w:val="21"/>
          <w:sz w:val="30"/>
          <w:szCs w:val="30"/>
          <w:u w:val="none"/>
        </w:rPr>
        <w:t>资源</w:t>
      </w:r>
      <w:r>
        <w:rPr>
          <w:rFonts w:hint="eastAsia" w:eastAsia="仿宋"/>
          <w:color w:val="auto"/>
          <w:kern w:val="21"/>
          <w:sz w:val="30"/>
          <w:szCs w:val="30"/>
          <w:u w:val="none"/>
          <w:lang w:eastAsia="zh-CN"/>
        </w:rPr>
        <w:t>的</w:t>
      </w:r>
      <w:r>
        <w:rPr>
          <w:rFonts w:hint="eastAsia" w:ascii="Times New Roman" w:hAnsi="Times New Roman" w:eastAsia="仿宋"/>
          <w:color w:val="auto"/>
          <w:kern w:val="21"/>
          <w:sz w:val="30"/>
          <w:szCs w:val="30"/>
          <w:u w:val="none"/>
          <w:lang w:val="en-US" w:eastAsia="zh-CN"/>
        </w:rPr>
        <w:t>外运</w:t>
      </w:r>
      <w:r>
        <w:rPr>
          <w:rFonts w:hint="eastAsia" w:eastAsia="仿宋"/>
          <w:color w:val="auto"/>
          <w:kern w:val="21"/>
          <w:sz w:val="30"/>
          <w:szCs w:val="30"/>
          <w:u w:val="none"/>
          <w:lang w:val="en-US" w:eastAsia="zh-CN"/>
        </w:rPr>
        <w:t>、清场</w:t>
      </w:r>
      <w:r>
        <w:rPr>
          <w:rFonts w:hint="eastAsia" w:ascii="Times New Roman" w:hAnsi="Times New Roman" w:eastAsia="仿宋"/>
          <w:color w:val="auto"/>
          <w:kern w:val="21"/>
          <w:sz w:val="30"/>
          <w:szCs w:val="30"/>
          <w:u w:val="none"/>
          <w:lang w:val="en-US" w:eastAsia="zh-CN"/>
        </w:rPr>
        <w:t>工作</w:t>
      </w:r>
      <w:r>
        <w:rPr>
          <w:rFonts w:hint="eastAsia" w:eastAsia="仿宋"/>
          <w:color w:val="auto"/>
          <w:kern w:val="21"/>
          <w:sz w:val="30"/>
          <w:szCs w:val="30"/>
          <w:u w:val="none"/>
        </w:rPr>
        <w:t>。</w:t>
      </w:r>
    </w:p>
    <w:p w14:paraId="3CE7FCA8">
      <w:pPr>
        <w:spacing w:line="560" w:lineRule="exact"/>
        <w:ind w:firstLine="640" w:firstLineChars="200"/>
        <w:rPr>
          <w:rFonts w:hint="default" w:eastAsia="仿宋"/>
          <w:color w:val="auto"/>
          <w:kern w:val="21"/>
          <w:szCs w:val="32"/>
          <w:lang w:val="en-US" w:eastAsia="zh-CN"/>
        </w:rPr>
      </w:pPr>
      <w:r>
        <w:rPr>
          <w:rFonts w:hint="eastAsia" w:ascii="黑体" w:hAnsi="黑体" w:eastAsia="黑体"/>
          <w:color w:val="auto"/>
          <w:kern w:val="21"/>
          <w:szCs w:val="32"/>
        </w:rPr>
        <w:t>第四条</w:t>
      </w:r>
      <w:r>
        <w:rPr>
          <w:rFonts w:hint="eastAsia" w:eastAsia="仿宋"/>
          <w:color w:val="auto"/>
          <w:kern w:val="21"/>
          <w:szCs w:val="32"/>
        </w:rPr>
        <w:t>　</w:t>
      </w:r>
      <w:r>
        <w:rPr>
          <w:rFonts w:hint="eastAsia" w:ascii="黑体" w:hAnsi="黑体" w:eastAsia="黑体"/>
          <w:color w:val="auto"/>
          <w:kern w:val="21"/>
          <w:szCs w:val="32"/>
          <w:lang w:val="en-US" w:eastAsia="zh-CN"/>
        </w:rPr>
        <w:t>土石方资源销售款</w:t>
      </w:r>
    </w:p>
    <w:p w14:paraId="78F823E7">
      <w:pPr>
        <w:spacing w:line="560" w:lineRule="exact"/>
        <w:ind w:firstLine="600" w:firstLineChars="200"/>
        <w:rPr>
          <w:rFonts w:hint="eastAsia" w:ascii="Times New Roman" w:hAnsi="Times New Roman" w:eastAsia="仿宋" w:cs="Times New Roman"/>
          <w:color w:val="auto"/>
          <w:spacing w:val="6"/>
          <w:kern w:val="21"/>
          <w:sz w:val="30"/>
          <w:szCs w:val="30"/>
          <w:u w:val="single"/>
          <w:lang w:val="en-US" w:eastAsia="zh-CN"/>
        </w:rPr>
      </w:pPr>
      <w:r>
        <w:rPr>
          <w:rFonts w:hint="eastAsia" w:eastAsia="仿宋"/>
          <w:color w:val="auto"/>
          <w:kern w:val="21"/>
          <w:sz w:val="30"/>
          <w:szCs w:val="30"/>
        </w:rPr>
        <w:t>（一）</w:t>
      </w:r>
      <w:r>
        <w:rPr>
          <w:rFonts w:hint="eastAsia" w:eastAsia="仿宋"/>
          <w:color w:val="auto"/>
          <w:kern w:val="21"/>
          <w:sz w:val="30"/>
          <w:szCs w:val="30"/>
          <w:lang w:val="en-US" w:eastAsia="zh-CN"/>
        </w:rPr>
        <w:t>销售</w:t>
      </w:r>
      <w:r>
        <w:rPr>
          <w:rFonts w:hint="eastAsia" w:eastAsia="仿宋"/>
          <w:color w:val="auto"/>
          <w:spacing w:val="6"/>
          <w:kern w:val="21"/>
          <w:sz w:val="30"/>
          <w:szCs w:val="30"/>
          <w:lang w:val="en-US" w:eastAsia="zh-CN"/>
        </w:rPr>
        <w:t>价格</w:t>
      </w:r>
      <w:r>
        <w:rPr>
          <w:rFonts w:hint="eastAsia" w:eastAsia="仿宋"/>
          <w:color w:val="auto"/>
          <w:spacing w:val="6"/>
          <w:kern w:val="21"/>
          <w:sz w:val="30"/>
          <w:szCs w:val="30"/>
        </w:rPr>
        <w:t>为</w:t>
      </w:r>
      <w:r>
        <w:rPr>
          <w:rFonts w:hint="eastAsia" w:eastAsia="仿宋"/>
          <w:color w:val="auto"/>
          <w:spacing w:val="6"/>
          <w:kern w:val="21"/>
          <w:sz w:val="30"/>
          <w:szCs w:val="30"/>
          <w:u w:val="single"/>
        </w:rPr>
        <w:t>人民币</w:t>
      </w:r>
      <w:r>
        <w:rPr>
          <w:rFonts w:hint="eastAsia" w:ascii="Times New Roman" w:hAnsi="Times New Roman" w:eastAsia="仿宋" w:cs="Times New Roman"/>
          <w:color w:val="auto"/>
          <w:spacing w:val="6"/>
          <w:kern w:val="21"/>
          <w:sz w:val="30"/>
          <w:szCs w:val="30"/>
          <w:u w:val="single"/>
        </w:rPr>
        <w:t>：</w:t>
      </w:r>
      <w:r>
        <w:rPr>
          <w:rFonts w:hint="eastAsia" w:ascii="Times New Roman" w:hAnsi="Times New Roman" w:eastAsia="仿宋" w:cs="Times New Roman"/>
          <w:color w:val="auto"/>
          <w:spacing w:val="6"/>
          <w:kern w:val="21"/>
          <w:sz w:val="30"/>
          <w:szCs w:val="30"/>
          <w:u w:val="single"/>
          <w:lang w:val="en-US" w:eastAsia="zh-CN"/>
        </w:rPr>
        <w:t>14159700.00元</w:t>
      </w:r>
      <w:r>
        <w:rPr>
          <w:rFonts w:hint="eastAsia" w:eastAsia="仿宋"/>
          <w:color w:val="auto"/>
          <w:spacing w:val="6"/>
          <w:kern w:val="21"/>
          <w:sz w:val="30"/>
          <w:szCs w:val="30"/>
          <w:u w:val="single"/>
        </w:rPr>
        <w:t>（大写：</w:t>
      </w:r>
      <w:r>
        <w:rPr>
          <w:rFonts w:hint="eastAsia" w:ascii="Times New Roman" w:hAnsi="Times New Roman" w:eastAsia="仿宋" w:cs="Times New Roman"/>
          <w:color w:val="auto"/>
          <w:spacing w:val="6"/>
          <w:kern w:val="21"/>
          <w:sz w:val="30"/>
          <w:szCs w:val="30"/>
          <w:u w:val="single"/>
          <w:lang w:val="en-US" w:eastAsia="zh-CN"/>
        </w:rPr>
        <w:t>壹仟肆佰壹拾伍万玖仟柒佰元</w:t>
      </w:r>
      <w:r>
        <w:rPr>
          <w:rFonts w:hint="default" w:ascii="Times New Roman" w:hAnsi="Times New Roman" w:eastAsia="仿宋" w:cs="Times New Roman"/>
          <w:color w:val="auto"/>
          <w:spacing w:val="6"/>
          <w:kern w:val="21"/>
          <w:sz w:val="30"/>
          <w:szCs w:val="30"/>
          <w:u w:val="single"/>
          <w:lang w:val="en-US" w:eastAsia="zh-CN"/>
        </w:rPr>
        <w:t>整</w:t>
      </w:r>
      <w:r>
        <w:rPr>
          <w:rFonts w:hint="eastAsia" w:ascii="Times New Roman" w:hAnsi="Times New Roman" w:eastAsia="仿宋" w:cs="Times New Roman"/>
          <w:color w:val="auto"/>
          <w:spacing w:val="6"/>
          <w:kern w:val="21"/>
          <w:sz w:val="30"/>
          <w:szCs w:val="30"/>
          <w:u w:val="single"/>
          <w:lang w:val="en-US" w:eastAsia="zh-CN"/>
        </w:rPr>
        <w:t>）。</w:t>
      </w:r>
    </w:p>
    <w:p w14:paraId="53DC39A6">
      <w:pPr>
        <w:ind w:firstLine="600" w:firstLineChars="200"/>
        <w:rPr>
          <w:rFonts w:hint="eastAsia" w:ascii="Times New Roman" w:hAnsi="Times New Roman" w:eastAsia="仿宋" w:cs="Times New Roman"/>
          <w:kern w:val="21"/>
          <w:sz w:val="30"/>
          <w:szCs w:val="30"/>
        </w:rPr>
      </w:pPr>
      <w:r>
        <w:rPr>
          <w:rFonts w:hint="eastAsia" w:ascii="Times New Roman" w:hAnsi="Times New Roman" w:eastAsia="仿宋" w:cs="Times New Roman"/>
          <w:kern w:val="21"/>
          <w:sz w:val="30"/>
          <w:szCs w:val="30"/>
        </w:rPr>
        <w:t>（二）缴纳方式：一次性付清。</w:t>
      </w:r>
    </w:p>
    <w:p w14:paraId="41DB0607">
      <w:pPr>
        <w:ind w:firstLine="600" w:firstLineChars="200"/>
        <w:rPr>
          <w:rFonts w:hint="eastAsia" w:ascii="Times New Roman" w:hAnsi="Times New Roman" w:eastAsia="仿宋" w:cs="Times New Roman"/>
          <w:kern w:val="21"/>
          <w:sz w:val="30"/>
          <w:szCs w:val="30"/>
        </w:rPr>
      </w:pPr>
      <w:r>
        <w:rPr>
          <w:rFonts w:hint="eastAsia" w:ascii="Times New Roman" w:hAnsi="Times New Roman" w:eastAsia="仿宋" w:cs="Times New Roman"/>
          <w:kern w:val="21"/>
          <w:sz w:val="30"/>
          <w:szCs w:val="30"/>
        </w:rPr>
        <w:t>（三）缴纳时间：本次</w:t>
      </w:r>
      <w:r>
        <w:rPr>
          <w:rFonts w:hint="eastAsia" w:ascii="Times New Roman" w:hAnsi="Times New Roman" w:eastAsia="仿宋" w:cs="Times New Roman"/>
          <w:kern w:val="21"/>
          <w:sz w:val="30"/>
          <w:szCs w:val="30"/>
          <w:lang w:val="en-US" w:eastAsia="zh-CN"/>
        </w:rPr>
        <w:t>土石方</w:t>
      </w:r>
      <w:r>
        <w:rPr>
          <w:rFonts w:hint="eastAsia" w:ascii="Times New Roman" w:hAnsi="Times New Roman" w:eastAsia="仿宋" w:cs="Times New Roman"/>
          <w:kern w:val="21"/>
          <w:sz w:val="30"/>
          <w:szCs w:val="30"/>
        </w:rPr>
        <w:t>资源销售款按一次性付清方式缴纳，乙方</w:t>
      </w:r>
      <w:r>
        <w:rPr>
          <w:rFonts w:hint="eastAsia" w:eastAsia="仿宋" w:cs="Times New Roman"/>
          <w:kern w:val="21"/>
          <w:sz w:val="30"/>
          <w:szCs w:val="30"/>
          <w:lang w:val="en-US" w:eastAsia="zh-CN"/>
        </w:rPr>
        <w:t>签订合同之日起5个工作日内或</w:t>
      </w:r>
      <w:r>
        <w:rPr>
          <w:rFonts w:hint="eastAsia" w:ascii="Times New Roman" w:hAnsi="Times New Roman" w:eastAsia="仿宋" w:cs="Times New Roman"/>
          <w:kern w:val="21"/>
          <w:sz w:val="30"/>
          <w:szCs w:val="30"/>
        </w:rPr>
        <w:t>收到</w:t>
      </w:r>
      <w:r>
        <w:rPr>
          <w:rFonts w:hint="eastAsia" w:eastAsia="仿宋" w:cs="Times New Roman"/>
          <w:kern w:val="21"/>
          <w:sz w:val="30"/>
          <w:szCs w:val="30"/>
          <w:lang w:val="en-US" w:eastAsia="zh-CN"/>
        </w:rPr>
        <w:t>甲方</w:t>
      </w:r>
      <w:r>
        <w:rPr>
          <w:rFonts w:hint="eastAsia" w:ascii="Times New Roman" w:hAnsi="Times New Roman" w:eastAsia="仿宋" w:cs="Times New Roman"/>
          <w:kern w:val="21"/>
          <w:sz w:val="30"/>
          <w:szCs w:val="30"/>
        </w:rPr>
        <w:t>缴款通知书</w:t>
      </w:r>
      <w:r>
        <w:rPr>
          <w:rFonts w:hint="eastAsia" w:ascii="Times New Roman" w:hAnsi="Times New Roman" w:eastAsia="仿宋" w:cs="Times New Roman"/>
          <w:kern w:val="21"/>
          <w:sz w:val="30"/>
          <w:szCs w:val="30"/>
          <w:lang w:eastAsia="zh-CN"/>
        </w:rPr>
        <w:t>之日起</w:t>
      </w:r>
      <w:r>
        <w:rPr>
          <w:rFonts w:hint="eastAsia" w:ascii="Times New Roman" w:hAnsi="Times New Roman" w:eastAsia="仿宋" w:cs="Times New Roman"/>
          <w:kern w:val="21"/>
          <w:sz w:val="30"/>
          <w:szCs w:val="30"/>
          <w:lang w:val="en-US" w:eastAsia="zh-CN"/>
        </w:rPr>
        <w:t>5</w:t>
      </w:r>
      <w:r>
        <w:rPr>
          <w:rFonts w:hint="eastAsia" w:ascii="Times New Roman" w:hAnsi="Times New Roman" w:eastAsia="仿宋" w:cs="Times New Roman"/>
          <w:kern w:val="21"/>
          <w:sz w:val="30"/>
          <w:szCs w:val="30"/>
        </w:rPr>
        <w:t>个工作日内一次性付清应缴</w:t>
      </w:r>
      <w:r>
        <w:rPr>
          <w:rFonts w:hint="eastAsia" w:ascii="Times New Roman" w:hAnsi="Times New Roman" w:eastAsia="仿宋" w:cs="Times New Roman"/>
          <w:kern w:val="21"/>
          <w:sz w:val="30"/>
          <w:szCs w:val="30"/>
          <w:lang w:val="en-US" w:eastAsia="zh-CN"/>
        </w:rPr>
        <w:t>土石方</w:t>
      </w:r>
      <w:r>
        <w:rPr>
          <w:rFonts w:hint="eastAsia" w:ascii="Times New Roman" w:hAnsi="Times New Roman" w:eastAsia="仿宋" w:cs="Times New Roman"/>
          <w:kern w:val="21"/>
          <w:sz w:val="30"/>
          <w:szCs w:val="30"/>
        </w:rPr>
        <w:t>资源销售款。</w:t>
      </w:r>
    </w:p>
    <w:p w14:paraId="74C83560">
      <w:pPr>
        <w:ind w:firstLine="600" w:firstLineChars="200"/>
        <w:rPr>
          <w:rFonts w:hint="eastAsia" w:ascii="Times New Roman" w:hAnsi="Times New Roman" w:eastAsia="仿宋" w:cs="Times New Roman"/>
          <w:kern w:val="21"/>
          <w:sz w:val="30"/>
          <w:szCs w:val="30"/>
        </w:rPr>
      </w:pPr>
      <w:r>
        <w:rPr>
          <w:rFonts w:hint="eastAsia" w:ascii="Times New Roman" w:hAnsi="Times New Roman" w:eastAsia="仿宋" w:cs="Times New Roman"/>
          <w:kern w:val="21"/>
          <w:sz w:val="30"/>
          <w:szCs w:val="30"/>
        </w:rPr>
        <w:t>（四）销售款不包括乙方按法律法规的规定应缴纳的其他费用。</w:t>
      </w:r>
    </w:p>
    <w:p w14:paraId="79B51311">
      <w:pPr>
        <w:spacing w:line="560" w:lineRule="exact"/>
        <w:ind w:firstLine="640" w:firstLineChars="200"/>
        <w:rPr>
          <w:rFonts w:eastAsia="仿宋"/>
          <w:color w:val="auto"/>
          <w:kern w:val="21"/>
          <w:szCs w:val="32"/>
        </w:rPr>
      </w:pPr>
      <w:r>
        <w:rPr>
          <w:rFonts w:hint="eastAsia" w:ascii="黑体" w:hAnsi="黑体" w:eastAsia="黑体"/>
          <w:color w:val="auto"/>
          <w:kern w:val="21"/>
          <w:szCs w:val="32"/>
        </w:rPr>
        <w:t>第五条</w:t>
      </w:r>
      <w:r>
        <w:rPr>
          <w:rFonts w:hint="eastAsia" w:eastAsia="仿宋"/>
          <w:color w:val="auto"/>
          <w:kern w:val="21"/>
          <w:szCs w:val="32"/>
        </w:rPr>
        <w:t>　</w:t>
      </w:r>
      <w:r>
        <w:rPr>
          <w:rFonts w:hint="eastAsia" w:ascii="黑体" w:hAnsi="黑体" w:eastAsia="黑体"/>
          <w:color w:val="auto"/>
          <w:kern w:val="21"/>
          <w:szCs w:val="32"/>
        </w:rPr>
        <w:t>甲方权利</w:t>
      </w:r>
    </w:p>
    <w:p w14:paraId="2E672917">
      <w:pPr>
        <w:ind w:firstLine="600" w:firstLineChars="200"/>
        <w:rPr>
          <w:rFonts w:eastAsia="仿宋"/>
          <w:kern w:val="21"/>
          <w:sz w:val="30"/>
          <w:szCs w:val="30"/>
        </w:rPr>
      </w:pPr>
      <w:r>
        <w:rPr>
          <w:rFonts w:hint="eastAsia" w:eastAsia="仿宋"/>
          <w:kern w:val="21"/>
          <w:sz w:val="30"/>
          <w:szCs w:val="30"/>
        </w:rPr>
        <w:t>（一）乙方未按时足额缴纳</w:t>
      </w:r>
      <w:r>
        <w:rPr>
          <w:rFonts w:hint="eastAsia" w:eastAsia="仿宋"/>
          <w:kern w:val="21"/>
          <w:sz w:val="30"/>
          <w:szCs w:val="30"/>
          <w:lang w:val="en-US" w:eastAsia="zh-CN"/>
        </w:rPr>
        <w:t>土石方</w:t>
      </w:r>
      <w:r>
        <w:rPr>
          <w:rFonts w:hint="eastAsia" w:eastAsia="仿宋"/>
          <w:kern w:val="21"/>
          <w:sz w:val="30"/>
          <w:szCs w:val="30"/>
        </w:rPr>
        <w:t>资源销售款的，</w:t>
      </w:r>
      <w:r>
        <w:rPr>
          <w:rFonts w:hint="eastAsia" w:eastAsia="仿宋"/>
          <w:kern w:val="21"/>
          <w:sz w:val="30"/>
          <w:szCs w:val="30"/>
          <w:lang w:eastAsia="zh-CN"/>
        </w:rPr>
        <w:t>甲方有权</w:t>
      </w:r>
      <w:r>
        <w:rPr>
          <w:rFonts w:hint="eastAsia" w:eastAsia="仿宋"/>
          <w:kern w:val="21"/>
          <w:sz w:val="30"/>
          <w:szCs w:val="30"/>
        </w:rPr>
        <w:t>责令</w:t>
      </w:r>
      <w:r>
        <w:rPr>
          <w:rFonts w:hint="eastAsia" w:eastAsia="仿宋"/>
          <w:kern w:val="21"/>
          <w:sz w:val="30"/>
          <w:szCs w:val="30"/>
          <w:lang w:eastAsia="zh-CN"/>
        </w:rPr>
        <w:t>乙方限期</w:t>
      </w:r>
      <w:r>
        <w:rPr>
          <w:rFonts w:hint="eastAsia" w:eastAsia="仿宋"/>
          <w:kern w:val="21"/>
          <w:sz w:val="30"/>
          <w:szCs w:val="30"/>
        </w:rPr>
        <w:t>改正，</w:t>
      </w:r>
      <w:r>
        <w:rPr>
          <w:rFonts w:hint="eastAsia" w:eastAsia="仿宋"/>
          <w:kern w:val="21"/>
          <w:sz w:val="30"/>
          <w:szCs w:val="30"/>
          <w:lang w:eastAsia="zh-CN"/>
        </w:rPr>
        <w:t>对乙方</w:t>
      </w:r>
      <w:r>
        <w:rPr>
          <w:rFonts w:hint="eastAsia" w:eastAsia="仿宋"/>
          <w:kern w:val="21"/>
          <w:sz w:val="30"/>
          <w:szCs w:val="30"/>
        </w:rPr>
        <w:t>从滞纳之日起每日加收</w:t>
      </w:r>
      <w:r>
        <w:rPr>
          <w:rFonts w:hint="eastAsia" w:eastAsia="仿宋"/>
          <w:kern w:val="21"/>
          <w:sz w:val="30"/>
          <w:szCs w:val="30"/>
          <w:lang w:eastAsia="zh-CN"/>
        </w:rPr>
        <w:t>合同销售款</w:t>
      </w:r>
      <w:r>
        <w:rPr>
          <w:rFonts w:hint="eastAsia" w:eastAsia="仿宋"/>
          <w:kern w:val="21"/>
          <w:sz w:val="30"/>
          <w:szCs w:val="30"/>
        </w:rPr>
        <w:t>千分之二的滞纳金，并将相关信息纳入企业诚信系统。乙方拒不</w:t>
      </w:r>
      <w:r>
        <w:rPr>
          <w:rFonts w:hint="default" w:eastAsia="仿宋"/>
          <w:kern w:val="21"/>
          <w:sz w:val="30"/>
          <w:szCs w:val="30"/>
          <w:lang w:val="en-US"/>
        </w:rPr>
        <w:t>改正</w:t>
      </w:r>
      <w:r>
        <w:rPr>
          <w:rFonts w:hint="eastAsia" w:eastAsia="仿宋"/>
          <w:kern w:val="21"/>
          <w:sz w:val="30"/>
          <w:szCs w:val="30"/>
        </w:rPr>
        <w:t>的，</w:t>
      </w:r>
      <w:r>
        <w:rPr>
          <w:rFonts w:hint="eastAsia" w:eastAsia="仿宋"/>
          <w:kern w:val="21"/>
          <w:sz w:val="30"/>
          <w:szCs w:val="30"/>
          <w:lang w:eastAsia="zh-CN"/>
        </w:rPr>
        <w:t>除应向甲方缴纳滞纳金外，</w:t>
      </w:r>
      <w:r>
        <w:rPr>
          <w:rFonts w:hint="eastAsia" w:eastAsia="仿宋"/>
          <w:kern w:val="21"/>
          <w:sz w:val="30"/>
          <w:szCs w:val="30"/>
        </w:rPr>
        <w:t>甲方有权解除本合同。</w:t>
      </w:r>
    </w:p>
    <w:p w14:paraId="5BFB8EF4">
      <w:pPr>
        <w:spacing w:line="560" w:lineRule="exact"/>
        <w:ind w:firstLine="640" w:firstLineChars="200"/>
        <w:rPr>
          <w:rFonts w:hint="eastAsia" w:eastAsia="仿宋"/>
          <w:kern w:val="21"/>
          <w:sz w:val="30"/>
          <w:szCs w:val="30"/>
        </w:rPr>
      </w:pPr>
      <w:r>
        <w:rPr>
          <w:rFonts w:hint="eastAsia" w:eastAsia="仿宋"/>
          <w:color w:val="auto"/>
          <w:kern w:val="21"/>
          <w:szCs w:val="32"/>
        </w:rPr>
        <w:t>（</w:t>
      </w:r>
      <w:r>
        <w:rPr>
          <w:rFonts w:hint="eastAsia" w:eastAsia="仿宋"/>
          <w:color w:val="auto"/>
          <w:kern w:val="21"/>
          <w:szCs w:val="32"/>
          <w:lang w:val="en-US" w:eastAsia="zh-CN"/>
        </w:rPr>
        <w:t>二</w:t>
      </w:r>
      <w:r>
        <w:rPr>
          <w:rFonts w:hint="eastAsia" w:eastAsia="仿宋"/>
          <w:color w:val="auto"/>
          <w:kern w:val="21"/>
          <w:szCs w:val="32"/>
        </w:rPr>
        <w:t>）</w:t>
      </w:r>
      <w:r>
        <w:rPr>
          <w:rFonts w:hint="eastAsia" w:eastAsia="仿宋"/>
          <w:kern w:val="21"/>
          <w:sz w:val="30"/>
          <w:szCs w:val="30"/>
          <w:lang w:eastAsia="zh-CN"/>
        </w:rPr>
        <w:t>乙方</w:t>
      </w:r>
      <w:r>
        <w:rPr>
          <w:rFonts w:hint="default" w:eastAsia="仿宋"/>
          <w:kern w:val="21"/>
          <w:sz w:val="30"/>
          <w:szCs w:val="30"/>
        </w:rPr>
        <w:t>应当在签订《成交确认书》后</w:t>
      </w:r>
      <w:r>
        <w:rPr>
          <w:rFonts w:hint="eastAsia" w:eastAsia="仿宋"/>
          <w:kern w:val="21"/>
          <w:sz w:val="30"/>
          <w:szCs w:val="30"/>
          <w:lang w:val="en-US" w:eastAsia="zh-CN"/>
        </w:rPr>
        <w:t>10</w:t>
      </w:r>
      <w:r>
        <w:rPr>
          <w:rFonts w:hint="default" w:eastAsia="仿宋"/>
          <w:kern w:val="21"/>
          <w:sz w:val="30"/>
          <w:szCs w:val="30"/>
        </w:rPr>
        <w:t>个工作日内按规定与</w:t>
      </w:r>
      <w:r>
        <w:rPr>
          <w:rFonts w:hint="eastAsia" w:eastAsia="仿宋"/>
          <w:kern w:val="21"/>
          <w:sz w:val="30"/>
          <w:szCs w:val="30"/>
          <w:lang w:val="en-US" w:eastAsia="zh-CN"/>
        </w:rPr>
        <w:t>惠城区</w:t>
      </w:r>
      <w:r>
        <w:rPr>
          <w:rFonts w:hint="default" w:eastAsia="仿宋"/>
          <w:kern w:val="21"/>
          <w:sz w:val="30"/>
          <w:szCs w:val="30"/>
        </w:rPr>
        <w:t>自然资源局签订《销售合同》，逾期不办理的视为自动放弃，其履约竞买保证金不予退回，并视为上缴国库</w:t>
      </w:r>
      <w:r>
        <w:rPr>
          <w:rFonts w:hint="eastAsia" w:eastAsia="仿宋"/>
          <w:kern w:val="21"/>
          <w:sz w:val="30"/>
          <w:szCs w:val="30"/>
        </w:rPr>
        <w:t>，惠城区自然资源局</w:t>
      </w:r>
      <w:r>
        <w:rPr>
          <w:rFonts w:hint="eastAsia" w:eastAsia="仿宋"/>
          <w:kern w:val="21"/>
          <w:sz w:val="30"/>
          <w:szCs w:val="30"/>
          <w:lang w:val="en-US" w:eastAsia="zh-CN"/>
        </w:rPr>
        <w:t>将</w:t>
      </w:r>
      <w:r>
        <w:rPr>
          <w:rFonts w:hint="eastAsia" w:eastAsia="仿宋"/>
          <w:kern w:val="21"/>
          <w:sz w:val="30"/>
          <w:szCs w:val="30"/>
        </w:rPr>
        <w:t>另行组织</w:t>
      </w:r>
      <w:r>
        <w:rPr>
          <w:rFonts w:hint="eastAsia" w:eastAsia="仿宋"/>
          <w:kern w:val="21"/>
          <w:sz w:val="30"/>
          <w:szCs w:val="30"/>
          <w:lang w:val="en-US" w:eastAsia="zh-CN"/>
        </w:rPr>
        <w:t>公开销售</w:t>
      </w:r>
      <w:r>
        <w:rPr>
          <w:rFonts w:hint="eastAsia" w:eastAsia="仿宋"/>
          <w:kern w:val="21"/>
          <w:sz w:val="30"/>
          <w:szCs w:val="30"/>
        </w:rPr>
        <w:t>。</w:t>
      </w:r>
    </w:p>
    <w:p w14:paraId="67C26474">
      <w:pPr>
        <w:spacing w:line="560" w:lineRule="exact"/>
        <w:ind w:firstLine="600" w:firstLineChars="200"/>
        <w:rPr>
          <w:rFonts w:hint="default" w:eastAsia="仿宋"/>
          <w:kern w:val="21"/>
          <w:sz w:val="30"/>
          <w:szCs w:val="30"/>
          <w:lang w:val="en-US" w:eastAsia="zh-CN"/>
        </w:rPr>
      </w:pPr>
      <w:r>
        <w:rPr>
          <w:rFonts w:hint="eastAsia" w:eastAsia="仿宋"/>
          <w:kern w:val="21"/>
          <w:sz w:val="30"/>
          <w:szCs w:val="30"/>
          <w:lang w:eastAsia="zh-CN"/>
        </w:rPr>
        <w:t>（</w:t>
      </w:r>
      <w:r>
        <w:rPr>
          <w:rFonts w:hint="eastAsia" w:eastAsia="仿宋"/>
          <w:kern w:val="21"/>
          <w:sz w:val="30"/>
          <w:szCs w:val="30"/>
          <w:lang w:val="en-US" w:eastAsia="zh-CN"/>
        </w:rPr>
        <w:t>三）如乙方出现超载超限超速等影响安全生产的行为，甲方有权利要求乙方停工整顿。</w:t>
      </w:r>
    </w:p>
    <w:p w14:paraId="59FED271">
      <w:pPr>
        <w:spacing w:line="560" w:lineRule="exact"/>
        <w:ind w:firstLine="640" w:firstLineChars="200"/>
        <w:rPr>
          <w:rFonts w:eastAsia="仿宋"/>
          <w:color w:val="auto"/>
          <w:kern w:val="21"/>
          <w:szCs w:val="32"/>
        </w:rPr>
      </w:pPr>
      <w:r>
        <w:rPr>
          <w:rFonts w:hint="eastAsia" w:ascii="黑体" w:hAnsi="黑体" w:eastAsia="黑体"/>
          <w:color w:val="auto"/>
          <w:kern w:val="21"/>
          <w:szCs w:val="32"/>
        </w:rPr>
        <w:t>第六条</w:t>
      </w:r>
      <w:r>
        <w:rPr>
          <w:rFonts w:hint="eastAsia" w:eastAsia="仿宋"/>
          <w:color w:val="auto"/>
          <w:kern w:val="21"/>
          <w:szCs w:val="32"/>
        </w:rPr>
        <w:t>　</w:t>
      </w:r>
      <w:r>
        <w:rPr>
          <w:rFonts w:hint="eastAsia" w:ascii="黑体" w:hAnsi="黑体" w:eastAsia="黑体"/>
          <w:color w:val="auto"/>
          <w:kern w:val="21"/>
          <w:szCs w:val="32"/>
        </w:rPr>
        <w:t>甲方义务</w:t>
      </w:r>
    </w:p>
    <w:p w14:paraId="0C7B8F57">
      <w:pPr>
        <w:spacing w:line="560" w:lineRule="exact"/>
        <w:ind w:firstLine="640" w:firstLineChars="200"/>
        <w:rPr>
          <w:rFonts w:hint="eastAsia" w:eastAsia="仿宋"/>
          <w:kern w:val="21"/>
          <w:sz w:val="30"/>
          <w:szCs w:val="30"/>
          <w:lang w:val="en-US" w:eastAsia="zh-CN"/>
        </w:rPr>
      </w:pPr>
      <w:r>
        <w:rPr>
          <w:rFonts w:hint="eastAsia" w:eastAsia="仿宋"/>
          <w:color w:val="auto"/>
          <w:kern w:val="21"/>
          <w:szCs w:val="32"/>
        </w:rPr>
        <w:t>（一）</w:t>
      </w:r>
      <w:r>
        <w:rPr>
          <w:rFonts w:hint="eastAsia" w:eastAsia="仿宋"/>
          <w:kern w:val="21"/>
          <w:sz w:val="30"/>
          <w:szCs w:val="30"/>
          <w:lang w:val="en-US" w:eastAsia="zh-CN"/>
        </w:rPr>
        <w:t>甲方应将销售合同告知销售收益征收机关，并提请其开具缴款通知书，通知乙方缴款。</w:t>
      </w:r>
    </w:p>
    <w:p w14:paraId="61354151">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（二）在本合同约定的外运期间内，甲方不得将本合同约定下的全部或者部分销售土石方资源另行向第三方销售。</w:t>
      </w:r>
    </w:p>
    <w:p w14:paraId="66C2BB2E">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三）如本合同所依据的法规政策、客观情况发生重大变化，为了公共利益的需要，自然资源主管部门依法取消本次土石方资源销售的，甲方有权解除本合同而不承担违约责任，同时应按规定妥善处置土石方资源。</w:t>
      </w:r>
    </w:p>
    <w:p w14:paraId="2398FC40">
      <w:pPr>
        <w:spacing w:line="560" w:lineRule="exact"/>
        <w:ind w:firstLine="640" w:firstLineChars="200"/>
        <w:rPr>
          <w:rFonts w:ascii="黑体" w:hAnsi="黑体" w:eastAsia="黑体"/>
          <w:color w:val="auto"/>
          <w:kern w:val="21"/>
          <w:szCs w:val="32"/>
        </w:rPr>
      </w:pPr>
      <w:r>
        <w:rPr>
          <w:rFonts w:hint="eastAsia" w:ascii="黑体" w:hAnsi="黑体" w:eastAsia="黑体"/>
          <w:color w:val="auto"/>
          <w:kern w:val="21"/>
          <w:szCs w:val="32"/>
        </w:rPr>
        <w:t>第七条</w:t>
      </w:r>
      <w:r>
        <w:rPr>
          <w:rFonts w:hint="eastAsia" w:eastAsia="仿宋"/>
          <w:color w:val="auto"/>
          <w:kern w:val="21"/>
          <w:szCs w:val="32"/>
        </w:rPr>
        <w:t>　</w:t>
      </w:r>
      <w:r>
        <w:rPr>
          <w:rFonts w:hint="eastAsia" w:ascii="黑体" w:hAnsi="黑体" w:eastAsia="黑体"/>
          <w:color w:val="auto"/>
          <w:kern w:val="21"/>
          <w:szCs w:val="32"/>
        </w:rPr>
        <w:t>乙方权利</w:t>
      </w:r>
    </w:p>
    <w:p w14:paraId="3F186F95">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（一）依据本合同，乙方一次性缴纳土石方资源销售款后，在有效限期内依法享有该宗土石方资源的使用和处分权利。</w:t>
      </w:r>
    </w:p>
    <w:p w14:paraId="7349B0ED">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（二）甲方未按照合同的约定移交土石方资源的，乙方有权解除本合同。</w:t>
      </w:r>
    </w:p>
    <w:p w14:paraId="2DA26CFA">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（三）因国家政策调整、重大自然灾害等原因取消土石方资源销售，乙方有权申请按照实际动用的资源量进行土石方资源销售款核定，并依据相关规定实行多退少补。</w:t>
      </w:r>
    </w:p>
    <w:p w14:paraId="49D7EDA6">
      <w:pPr>
        <w:spacing w:line="560" w:lineRule="exact"/>
        <w:ind w:firstLine="640" w:firstLineChars="200"/>
        <w:rPr>
          <w:rFonts w:ascii="黑体" w:hAnsi="黑体" w:eastAsia="黑体"/>
          <w:color w:val="auto"/>
          <w:kern w:val="21"/>
          <w:szCs w:val="32"/>
        </w:rPr>
      </w:pPr>
      <w:r>
        <w:rPr>
          <w:rFonts w:hint="eastAsia" w:ascii="黑体" w:hAnsi="黑体" w:eastAsia="黑体"/>
          <w:color w:val="auto"/>
          <w:kern w:val="21"/>
          <w:szCs w:val="32"/>
        </w:rPr>
        <w:t>第八条</w:t>
      </w:r>
      <w:r>
        <w:rPr>
          <w:rFonts w:hint="eastAsia" w:eastAsia="仿宋"/>
          <w:color w:val="auto"/>
          <w:kern w:val="21"/>
          <w:szCs w:val="32"/>
        </w:rPr>
        <w:t>　</w:t>
      </w:r>
      <w:r>
        <w:rPr>
          <w:rFonts w:hint="eastAsia" w:ascii="黑体" w:hAnsi="黑体" w:eastAsia="黑体"/>
          <w:color w:val="auto"/>
          <w:kern w:val="21"/>
          <w:szCs w:val="32"/>
        </w:rPr>
        <w:t>乙方义务</w:t>
      </w:r>
    </w:p>
    <w:p w14:paraId="0F6C0DE2">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（一）乙方在签订合同之日起5个工作日内或收到土石方资源销售款缴款通知书5个工作日内，按缴款通知一次性缴纳土石方资源销售款。</w:t>
      </w:r>
    </w:p>
    <w:p w14:paraId="398069FF">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二）本次销售土石方在惠城区白沙堆山体安全治理项目范围内，位于惠城区小金口街道惠博大道北侧、鸿基千江月西侧的白石西区FMA-04-03-03-01地块，本次销售的仅为安全治理工程产生土石方的处置，乙方在土石方对外销售过程中，应依法办理相关手续，依法缴纳相关税费。属地政府小金口街道需对该项目所产生土石方处置加强监管；竞得方需配合监管，做好称重和销售管理并形成台账，明确土石方资源的权属，严令禁止偷采偷卖等行为；</w:t>
      </w:r>
      <w:r>
        <w:rPr>
          <w:rFonts w:hint="eastAsia" w:eastAsia="仿宋"/>
          <w:kern w:val="21"/>
          <w:sz w:val="30"/>
          <w:szCs w:val="30"/>
          <w:lang w:val="en-US" w:eastAsia="zh-CN"/>
        </w:rPr>
        <w:t>涉及该土石方运输所需要的进出场道路、场区管理等事宜，乙方应及时与小金口街道、当地村委会、村小组积极进行沟通协调。</w:t>
      </w:r>
      <w:bookmarkStart w:id="0" w:name="_GoBack"/>
      <w:bookmarkEnd w:id="0"/>
    </w:p>
    <w:p w14:paraId="05190CBB">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（三）本次销售的土石方资源须限时清场，根据安全治理工程进度及时运输，不得影响安全安全治理工程施工进度；如因乙方自身原因到期未运输完毕，视为自动放弃剩余土石方资源。</w:t>
      </w:r>
    </w:p>
    <w:p w14:paraId="02484C99">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四）乙方取得本次土石方资源后，必须依法从事运输活动，严格按照相关要求进行作业，遵循相关部门的要求，做好安全生产、扬尘防护、水土流水等相关工作，防止环境污染，节约集约利用土石方资源，避免对周边环境设施造成水土流水危害。</w:t>
      </w:r>
    </w:p>
    <w:p w14:paraId="7F76F909">
      <w:pPr>
        <w:spacing w:line="560" w:lineRule="exact"/>
        <w:ind w:firstLine="600" w:firstLineChars="200"/>
        <w:rPr>
          <w:rFonts w:hint="eastAsia" w:eastAsia="仿宋"/>
          <w:color w:val="auto"/>
          <w:kern w:val="21"/>
          <w:sz w:val="30"/>
          <w:szCs w:val="30"/>
          <w:lang w:val="en-US" w:eastAsia="zh-CN"/>
        </w:rPr>
      </w:pPr>
      <w:r>
        <w:rPr>
          <w:rFonts w:hint="eastAsia" w:eastAsia="仿宋"/>
          <w:color w:val="auto"/>
          <w:kern w:val="21"/>
          <w:sz w:val="30"/>
          <w:szCs w:val="30"/>
          <w:lang w:val="en-US" w:eastAsia="zh-CN"/>
        </w:rPr>
        <w:t>（六）因开采运输使国家或他人遭受损失的，乙方应当负责赔偿。</w:t>
      </w:r>
    </w:p>
    <w:p w14:paraId="2900A28E">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（七）乙方需要遵守其他法律、法规、规章及政策规定，自觉接受相关职能部门的监督管理。</w:t>
      </w:r>
    </w:p>
    <w:p w14:paraId="28381E52">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八）土石方资源投资具有投资风险性，存在不可抗力和政策变化，乙方已充分了解和考虑，慎重决策。充分评估投资风险，一旦竞得，签订《成交确认书》或《销售合同》，风险由乙方自行承担，不得向自然资源等部门提出退款、索赔、延长销售期限等要求。</w:t>
      </w:r>
    </w:p>
    <w:p w14:paraId="1D736C7B">
      <w:pPr>
        <w:spacing w:line="560" w:lineRule="exact"/>
        <w:ind w:firstLine="600" w:firstLineChars="200"/>
        <w:rPr>
          <w:rFonts w:hint="eastAsia" w:eastAsia="仿宋"/>
          <w:color w:val="auto"/>
          <w:kern w:val="21"/>
          <w:sz w:val="30"/>
          <w:szCs w:val="30"/>
          <w:lang w:val="en-US" w:eastAsia="zh-CN"/>
        </w:rPr>
      </w:pPr>
      <w:r>
        <w:rPr>
          <w:rFonts w:hint="eastAsia" w:eastAsia="仿宋"/>
          <w:color w:val="auto"/>
          <w:kern w:val="21"/>
          <w:sz w:val="30"/>
          <w:szCs w:val="30"/>
          <w:lang w:val="en-US" w:eastAsia="zh-CN"/>
        </w:rPr>
        <w:t>（九）本次挂牌销售的土石方资源，其储量检测报告由具有相应资质的机构出具，但有关矿体的规模、形态、储量、品位等可能与实际销售有差距，存在不可预见的风险，</w:t>
      </w:r>
      <w:r>
        <w:rPr>
          <w:rFonts w:hint="eastAsia" w:eastAsia="仿宋"/>
          <w:kern w:val="21"/>
          <w:sz w:val="30"/>
          <w:szCs w:val="30"/>
          <w:lang w:val="en-US" w:eastAsia="zh-CN"/>
        </w:rPr>
        <w:t>乙方</w:t>
      </w:r>
      <w:r>
        <w:rPr>
          <w:rFonts w:hint="eastAsia" w:eastAsia="仿宋"/>
          <w:color w:val="auto"/>
          <w:kern w:val="21"/>
          <w:sz w:val="30"/>
          <w:szCs w:val="30"/>
          <w:lang w:val="en-US" w:eastAsia="zh-CN"/>
        </w:rPr>
        <w:t>竞买成交后必须承担相应的风险。</w:t>
      </w:r>
    </w:p>
    <w:p w14:paraId="79FD6B49">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十）乙方在参与竞买时已详尽了解本次挂牌销售土石方资源的基本情况和现状，乙方提交竞买申请即视为认可拟销售土石方资源的基本情况和现状，对本次挂牌销售以及拟销售土石方资源不存在任何异议，并自行承担由此可能存在的土石方开发价值、市场价格波动等商业风险和损失。</w:t>
      </w:r>
    </w:p>
    <w:p w14:paraId="1B59C9BA">
      <w:pPr>
        <w:spacing w:line="560" w:lineRule="exact"/>
        <w:ind w:firstLine="600" w:firstLineChars="200"/>
        <w:rPr>
          <w:rFonts w:hint="eastAsia" w:eastAsia="仿宋"/>
          <w:color w:val="auto"/>
          <w:kern w:val="21"/>
          <w:sz w:val="30"/>
          <w:szCs w:val="30"/>
          <w:lang w:val="en-US" w:eastAsia="zh-CN"/>
        </w:rPr>
      </w:pPr>
      <w:r>
        <w:rPr>
          <w:rFonts w:hint="eastAsia" w:eastAsia="仿宋"/>
          <w:color w:val="auto"/>
          <w:kern w:val="21"/>
          <w:sz w:val="30"/>
          <w:szCs w:val="30"/>
          <w:lang w:val="en-US" w:eastAsia="zh-CN"/>
        </w:rPr>
        <w:t>（十一）乙方保证对甲方所提供的保密信息（包括一切保密数据、文件、资料、档案等）予以妥善保存，并保证该保密信息仅用于与合作有关的用途或目的。乙方保证保密信息仅可在从事该项目的负责人和雇员范围内知悉，并确保上述人员承担保密的责任。</w:t>
      </w:r>
    </w:p>
    <w:p w14:paraId="3DDA3830">
      <w:pPr>
        <w:spacing w:line="560" w:lineRule="exact"/>
        <w:ind w:firstLine="600" w:firstLineChars="200"/>
        <w:rPr>
          <w:rFonts w:hint="eastAsia" w:eastAsia="仿宋"/>
          <w:color w:val="auto"/>
          <w:kern w:val="21"/>
          <w:sz w:val="30"/>
          <w:szCs w:val="30"/>
          <w:lang w:val="en-US" w:eastAsia="zh-CN"/>
        </w:rPr>
      </w:pPr>
      <w:r>
        <w:rPr>
          <w:rFonts w:hint="eastAsia" w:eastAsia="仿宋"/>
          <w:color w:val="auto"/>
          <w:kern w:val="21"/>
          <w:sz w:val="30"/>
          <w:szCs w:val="30"/>
          <w:lang w:val="en-US" w:eastAsia="zh-CN"/>
        </w:rPr>
        <w:t>乙方若有违反保密义务的情形，无论故意与过失，应当立即停止侵害，并在第一时间采取一切必要措施防止保密信息的扩散，尽最大可能消除影响，如甲方因此而遭受损失的，乙方应赔偿该损失。</w:t>
      </w:r>
    </w:p>
    <w:p w14:paraId="136609D7">
      <w:pPr>
        <w:spacing w:line="560" w:lineRule="exact"/>
        <w:ind w:firstLine="600" w:firstLineChars="200"/>
        <w:rPr>
          <w:rFonts w:hint="eastAsia" w:eastAsia="仿宋"/>
          <w:color w:val="auto"/>
          <w:kern w:val="21"/>
          <w:sz w:val="30"/>
          <w:szCs w:val="30"/>
          <w:lang w:val="en-US" w:eastAsia="zh-CN"/>
        </w:rPr>
      </w:pPr>
      <w:r>
        <w:rPr>
          <w:rFonts w:hint="eastAsia" w:eastAsia="仿宋"/>
          <w:color w:val="auto"/>
          <w:kern w:val="21"/>
          <w:sz w:val="30"/>
          <w:szCs w:val="30"/>
          <w:lang w:val="en-US" w:eastAsia="zh-CN"/>
        </w:rPr>
        <w:t>本合同保密条款不因本合同的解除、失效或终止而失效。</w:t>
      </w:r>
    </w:p>
    <w:p w14:paraId="7E0340C7">
      <w:pPr>
        <w:spacing w:line="560" w:lineRule="exact"/>
        <w:ind w:firstLine="600" w:firstLineChars="200"/>
        <w:rPr>
          <w:rFonts w:hint="eastAsia" w:eastAsia="仿宋"/>
          <w:color w:val="auto"/>
          <w:kern w:val="21"/>
          <w:sz w:val="30"/>
          <w:szCs w:val="30"/>
          <w:lang w:val="en-US" w:eastAsia="zh-CN"/>
        </w:rPr>
      </w:pPr>
      <w:r>
        <w:rPr>
          <w:rFonts w:hint="eastAsia" w:eastAsia="仿宋"/>
          <w:color w:val="auto"/>
          <w:kern w:val="21"/>
          <w:sz w:val="30"/>
          <w:szCs w:val="30"/>
          <w:lang w:val="en-US" w:eastAsia="zh-CN"/>
        </w:rPr>
        <w:t>（十二）乙方对开发利用相关土石必须完善所涉及的用林、用地、环保、水土保持等相关手续，并按规定制定有关方案严格执行，确保利用后林地、土地、生态环境和水土保持条件得到有效恢复（该项应与销售合同时间同步进行并依时完成）。</w:t>
      </w:r>
    </w:p>
    <w:p w14:paraId="30FF9467">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十三）在乙方取得本次土石方资源后，必须严格按照广东省人民政府令第305号《广东省道路货物运输源头超限超载治理办法》第二十二条规定，将惠城区小金口街道白沙堆山体安全治理土石方项目纳入惠城区人民政府的监管范围，防止超限超载运输过程中造成安全事故。</w:t>
      </w:r>
    </w:p>
    <w:p w14:paraId="4242B83F">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十四）乙方取得本次土石方资源后，必须按照广东省人民政府令第305号《广东省道路货物运输超限超载治理办法》第十条规定，安装合格的超限超载检测、监控等设备并接入源头治超数据监管平台进行24小时监管;对货物装载或者货车放行情况进行登记，不得放行违法超限超载货车。</w:t>
      </w:r>
    </w:p>
    <w:p w14:paraId="44B41082">
      <w:pPr>
        <w:spacing w:line="560" w:lineRule="exact"/>
        <w:ind w:firstLine="640" w:firstLineChars="200"/>
        <w:rPr>
          <w:rFonts w:eastAsia="仿宋"/>
          <w:color w:val="auto"/>
          <w:kern w:val="21"/>
          <w:szCs w:val="32"/>
        </w:rPr>
      </w:pPr>
      <w:r>
        <w:rPr>
          <w:rFonts w:hint="eastAsia" w:ascii="黑体" w:hAnsi="黑体" w:eastAsia="黑体"/>
          <w:color w:val="auto"/>
          <w:kern w:val="21"/>
          <w:szCs w:val="32"/>
        </w:rPr>
        <w:t>第九条</w:t>
      </w:r>
      <w:r>
        <w:rPr>
          <w:rFonts w:hint="eastAsia" w:eastAsia="仿宋"/>
          <w:color w:val="auto"/>
          <w:kern w:val="21"/>
          <w:szCs w:val="32"/>
        </w:rPr>
        <w:t>　</w:t>
      </w:r>
      <w:r>
        <w:rPr>
          <w:rFonts w:hint="eastAsia" w:ascii="黑体" w:hAnsi="黑体" w:eastAsia="黑体"/>
          <w:color w:val="auto"/>
          <w:kern w:val="21"/>
          <w:szCs w:val="32"/>
        </w:rPr>
        <w:t>违约责任</w:t>
      </w:r>
    </w:p>
    <w:p w14:paraId="2F62E727">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（一）甲方违反本合同约定，造成乙方合法权益损害的，乙方可向人民法院提起诉讼。</w:t>
      </w:r>
    </w:p>
    <w:p w14:paraId="234A9881">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二）乙方违反本合同约定，未按时缴纳全部土石方资源销售款的，由县级以上财政部门依照《财政违法行为处罚处分条例》予以处理处罚，且甲方有权责令乙方限期改正，从滞纳之日起每日加收合同销售款千分之二的滞纳金，并将相关信息纳入企业诚信系统。延期缴纳超过10天的，甲方有权单方解除本合同，乙方应无条件退还其外运的土石方资源。</w:t>
      </w:r>
    </w:p>
    <w:p w14:paraId="4564CD24">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三）未经甲方书面同意，乙方不得以任何形式将本合同项下的权利义务转让或转委托给第三方，或将本合同项目与第三方进行合作。否则，甲方有权解除本合同并要求乙方终止与第三方的合同，同时，乙方按销售总价20%的标准向甲方支付违约金，并赔偿由此给甲方造成的损失。</w:t>
      </w:r>
    </w:p>
    <w:p w14:paraId="1E193898">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（四）乙方无故解除合同的，需向甲方支付销售总价的30%作为违约金。</w:t>
      </w:r>
    </w:p>
    <w:p w14:paraId="0DC5DE31">
      <w:pPr>
        <w:spacing w:line="560" w:lineRule="exact"/>
        <w:ind w:firstLine="640" w:firstLineChars="200"/>
        <w:rPr>
          <w:rFonts w:eastAsia="仿宋"/>
          <w:color w:val="auto"/>
          <w:kern w:val="21"/>
          <w:szCs w:val="32"/>
        </w:rPr>
      </w:pPr>
      <w:r>
        <w:rPr>
          <w:rFonts w:hint="eastAsia" w:ascii="黑体" w:hAnsi="黑体" w:eastAsia="黑体"/>
          <w:color w:val="auto"/>
          <w:kern w:val="21"/>
          <w:szCs w:val="32"/>
        </w:rPr>
        <w:t>第十条</w:t>
      </w:r>
      <w:r>
        <w:rPr>
          <w:rFonts w:hint="eastAsia" w:eastAsia="仿宋"/>
          <w:color w:val="auto"/>
          <w:kern w:val="21"/>
          <w:szCs w:val="32"/>
        </w:rPr>
        <w:t>　</w:t>
      </w:r>
      <w:r>
        <w:rPr>
          <w:rFonts w:hint="eastAsia" w:ascii="黑体" w:hAnsi="黑体" w:eastAsia="黑体"/>
          <w:color w:val="auto"/>
          <w:kern w:val="21"/>
          <w:szCs w:val="32"/>
        </w:rPr>
        <w:t>其他约定</w:t>
      </w:r>
    </w:p>
    <w:p w14:paraId="4DB4823E">
      <w:pPr>
        <w:spacing w:line="560" w:lineRule="exact"/>
        <w:ind w:firstLine="600" w:firstLineChars="200"/>
        <w:rPr>
          <w:rFonts w:hint="eastAsia" w:eastAsia="仿宋"/>
          <w:kern w:val="21"/>
          <w:sz w:val="30"/>
          <w:szCs w:val="30"/>
          <w:highlight w:val="yellow"/>
          <w:lang w:val="en-US" w:eastAsia="zh-CN"/>
        </w:rPr>
      </w:pPr>
      <w:r>
        <w:rPr>
          <w:rFonts w:hint="eastAsia" w:eastAsia="仿宋"/>
          <w:kern w:val="21"/>
          <w:sz w:val="30"/>
          <w:szCs w:val="30"/>
          <w:lang w:val="en-US" w:eastAsia="zh-CN"/>
        </w:rPr>
        <w:t>（一）</w:t>
      </w:r>
      <w:r>
        <w:rPr>
          <w:rFonts w:hint="eastAsia" w:eastAsia="仿宋"/>
          <w:kern w:val="21"/>
          <w:sz w:val="30"/>
          <w:szCs w:val="30"/>
          <w:highlight w:val="none"/>
          <w:lang w:val="en-US" w:eastAsia="zh-CN"/>
        </w:rPr>
        <w:t>本次出让的资源量为一次性出让，外运期限到期或该场地内销售的资源量提前外运完毕后，乙方应退出场地并妥善处理遗留的设施设备，确保消除安全隐患。逾期仍未履行退出义务的则视为该企业自愿放弃遗留在场地范围内的所有资产，甲方或者其他政府部门对该企业所遗留的资产、设施设备等无需予以补偿。</w:t>
      </w:r>
    </w:p>
    <w:p w14:paraId="08BBE1AE">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（二）本次销售土石方资源产出的建筑石料主要供应我市建筑市场，乙方必须优先保障我市县重点工程、重大项目和民生工程的建筑石料的稳定供应，销售渠道及价格必须接受有关部门监管。</w:t>
      </w:r>
    </w:p>
    <w:p w14:paraId="212C7BCC">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（三）乙方在土石方资源开采生产过程中须遵守公路车辆运输超载超限治理的相关规定，乙方因车辆超限超载致使停产停工而造成损失的，由乙方自行承担后果。</w:t>
      </w:r>
    </w:p>
    <w:p w14:paraId="78808B2A">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（四）乙方在土石方资源运输过程中，与当地群众发生的一切纠纷（包括地质环境、生态环境、水资源、生活环境、基础设施等矿群纠纷），由乙方自行负责经济损失，并由乙方依法依规妥善解决纠纷问题。</w:t>
      </w:r>
    </w:p>
    <w:p w14:paraId="35DB7764">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（五）乙方应保证现场工作的安全开展，因乙方或因意外发生的安全事故（包括但不限于员工工伤及第三人人身、财产损害），由乙方承担一切责任。</w:t>
      </w:r>
    </w:p>
    <w:p w14:paraId="3221ABD3">
      <w:pPr>
        <w:spacing w:line="560" w:lineRule="exact"/>
        <w:ind w:firstLine="600" w:firstLineChars="200"/>
        <w:rPr>
          <w:rFonts w:hint="eastAsia" w:eastAsia="仿宋"/>
          <w:kern w:val="21"/>
          <w:sz w:val="30"/>
          <w:szCs w:val="30"/>
          <w:lang w:val="en-US" w:eastAsia="zh-CN"/>
        </w:rPr>
      </w:pPr>
      <w:r>
        <w:rPr>
          <w:rFonts w:hint="eastAsia" w:eastAsia="仿宋"/>
          <w:kern w:val="21"/>
          <w:sz w:val="30"/>
          <w:szCs w:val="30"/>
          <w:lang w:val="en-US" w:eastAsia="zh-CN"/>
        </w:rPr>
        <w:t>（六）</w:t>
      </w:r>
      <w:r>
        <w:rPr>
          <w:rFonts w:hint="eastAsia" w:eastAsia="仿宋"/>
          <w:kern w:val="21"/>
          <w:sz w:val="30"/>
          <w:szCs w:val="30"/>
          <w:lang w:eastAsia="zh-CN"/>
        </w:rPr>
        <w:t>乙方</w:t>
      </w:r>
      <w:r>
        <w:rPr>
          <w:rFonts w:hint="eastAsia" w:eastAsia="仿宋"/>
          <w:kern w:val="21"/>
          <w:sz w:val="30"/>
          <w:szCs w:val="30"/>
        </w:rPr>
        <w:t>应做好施工现场的人员管理工作，须向</w:t>
      </w:r>
      <w:r>
        <w:rPr>
          <w:rFonts w:hint="eastAsia" w:eastAsia="仿宋"/>
          <w:kern w:val="21"/>
          <w:sz w:val="30"/>
          <w:szCs w:val="30"/>
          <w:lang w:eastAsia="zh-CN"/>
        </w:rPr>
        <w:t>甲方</w:t>
      </w:r>
      <w:r>
        <w:rPr>
          <w:rFonts w:hint="eastAsia" w:eastAsia="仿宋"/>
          <w:kern w:val="21"/>
          <w:sz w:val="30"/>
          <w:szCs w:val="30"/>
        </w:rPr>
        <w:t>提供施工人员登记造册（内容包括：姓名、性别、年龄、籍贯、工种、级别、工作证号码及身份证号码）并自行办理所有外来人员手续，进场管理人员及特殊工种人员必须持证上岗。</w:t>
      </w:r>
      <w:r>
        <w:rPr>
          <w:rFonts w:hint="eastAsia" w:eastAsia="仿宋"/>
          <w:kern w:val="21"/>
          <w:sz w:val="30"/>
          <w:szCs w:val="30"/>
          <w:lang w:eastAsia="zh-CN"/>
        </w:rPr>
        <w:t>乙方</w:t>
      </w:r>
      <w:r>
        <w:rPr>
          <w:rFonts w:hint="eastAsia" w:eastAsia="仿宋"/>
          <w:kern w:val="21"/>
          <w:sz w:val="30"/>
          <w:szCs w:val="30"/>
        </w:rPr>
        <w:t>对其确定劳动关系的施工人员必须认真审查，保证人员的政治素质，身体素质和技术水平</w:t>
      </w:r>
      <w:r>
        <w:rPr>
          <w:rFonts w:hint="eastAsia" w:eastAsia="仿宋"/>
          <w:kern w:val="21"/>
          <w:sz w:val="30"/>
          <w:szCs w:val="30"/>
          <w:lang w:eastAsia="zh-CN"/>
        </w:rPr>
        <w:t>。</w:t>
      </w:r>
    </w:p>
    <w:p w14:paraId="3EE14E65">
      <w:pPr>
        <w:spacing w:line="560" w:lineRule="exact"/>
        <w:ind w:firstLine="640" w:firstLineChars="200"/>
        <w:rPr>
          <w:rFonts w:hint="eastAsia" w:eastAsia="仿宋"/>
          <w:kern w:val="21"/>
          <w:sz w:val="30"/>
          <w:szCs w:val="30"/>
          <w:lang w:val="en-US" w:eastAsia="zh-CN"/>
        </w:rPr>
      </w:pPr>
      <w:r>
        <w:rPr>
          <w:rFonts w:hint="eastAsia" w:ascii="黑体" w:hAnsi="黑体" w:eastAsia="黑体"/>
          <w:color w:val="auto"/>
          <w:kern w:val="21"/>
          <w:szCs w:val="32"/>
        </w:rPr>
        <w:t>第十一条</w:t>
      </w:r>
      <w:r>
        <w:rPr>
          <w:rFonts w:hint="eastAsia" w:eastAsia="仿宋"/>
          <w:color w:val="auto"/>
          <w:kern w:val="21"/>
          <w:szCs w:val="32"/>
        </w:rPr>
        <w:t>　</w:t>
      </w:r>
      <w:r>
        <w:rPr>
          <w:rFonts w:hint="eastAsia" w:eastAsia="仿宋"/>
          <w:kern w:val="21"/>
          <w:sz w:val="30"/>
          <w:szCs w:val="30"/>
          <w:lang w:val="en-US" w:eastAsia="zh-CN"/>
        </w:rPr>
        <w:t>本合同未尽事宜，按照相关法律法规的规定执行。法律法规没有规定的，双方经协商一致后，可另行签订补充协议。补充协议与本合同具有同等法律效力。</w:t>
      </w:r>
    </w:p>
    <w:p w14:paraId="0A617502">
      <w:pPr>
        <w:spacing w:line="560" w:lineRule="exact"/>
        <w:ind w:firstLine="640" w:firstLineChars="200"/>
        <w:rPr>
          <w:rFonts w:eastAsia="仿宋"/>
          <w:color w:val="auto"/>
          <w:kern w:val="21"/>
          <w:szCs w:val="32"/>
        </w:rPr>
      </w:pPr>
      <w:r>
        <w:rPr>
          <w:rFonts w:hint="eastAsia" w:ascii="黑体" w:hAnsi="黑体" w:eastAsia="黑体"/>
          <w:color w:val="auto"/>
          <w:kern w:val="21"/>
          <w:szCs w:val="32"/>
        </w:rPr>
        <w:t>第十二条</w:t>
      </w:r>
      <w:r>
        <w:rPr>
          <w:rFonts w:hint="eastAsia" w:eastAsia="仿宋"/>
          <w:color w:val="auto"/>
          <w:kern w:val="21"/>
          <w:szCs w:val="32"/>
        </w:rPr>
        <w:t>　</w:t>
      </w:r>
      <w:r>
        <w:rPr>
          <w:rFonts w:hint="eastAsia" w:eastAsia="仿宋"/>
          <w:kern w:val="21"/>
          <w:sz w:val="30"/>
          <w:szCs w:val="30"/>
          <w:highlight w:val="none"/>
        </w:rPr>
        <w:t>因本合同引起纠纷的，由争议双方协商解决，协商不成的，双方同意向</w:t>
      </w:r>
      <w:r>
        <w:rPr>
          <w:rFonts w:hint="eastAsia" w:eastAsia="仿宋"/>
          <w:kern w:val="21"/>
          <w:sz w:val="30"/>
          <w:szCs w:val="30"/>
          <w:highlight w:val="none"/>
          <w:u w:val="none"/>
          <w:lang w:val="en-US" w:eastAsia="zh-CN"/>
        </w:rPr>
        <w:t>惠州市惠城区</w:t>
      </w:r>
      <w:r>
        <w:rPr>
          <w:rFonts w:hint="eastAsia" w:eastAsia="仿宋"/>
          <w:kern w:val="21"/>
          <w:sz w:val="30"/>
          <w:szCs w:val="30"/>
          <w:highlight w:val="none"/>
        </w:rPr>
        <w:t>人民法院提起诉讼</w:t>
      </w:r>
      <w:r>
        <w:rPr>
          <w:rFonts w:hint="eastAsia" w:eastAsia="仿宋"/>
          <w:color w:val="auto"/>
          <w:kern w:val="21"/>
          <w:szCs w:val="32"/>
        </w:rPr>
        <w:t>。</w:t>
      </w:r>
    </w:p>
    <w:p w14:paraId="0EAE4FB6">
      <w:pPr>
        <w:spacing w:line="560" w:lineRule="exact"/>
        <w:ind w:firstLine="640" w:firstLineChars="200"/>
        <w:rPr>
          <w:rFonts w:hint="eastAsia" w:eastAsia="仿宋"/>
          <w:kern w:val="21"/>
          <w:sz w:val="30"/>
          <w:szCs w:val="30"/>
          <w:lang w:val="en-US" w:eastAsia="zh-CN"/>
        </w:rPr>
      </w:pPr>
      <w:r>
        <w:rPr>
          <w:rFonts w:hint="eastAsia" w:ascii="黑体" w:hAnsi="黑体" w:eastAsia="黑体"/>
          <w:color w:val="auto"/>
          <w:kern w:val="21"/>
          <w:szCs w:val="32"/>
        </w:rPr>
        <w:t>第十三条</w:t>
      </w:r>
      <w:r>
        <w:rPr>
          <w:rFonts w:hint="eastAsia" w:eastAsia="仿宋"/>
          <w:color w:val="auto"/>
          <w:kern w:val="21"/>
          <w:szCs w:val="32"/>
        </w:rPr>
        <w:t>　</w:t>
      </w:r>
      <w:r>
        <w:rPr>
          <w:rFonts w:hint="eastAsia" w:eastAsia="仿宋"/>
          <w:kern w:val="21"/>
          <w:sz w:val="30"/>
          <w:szCs w:val="30"/>
          <w:lang w:val="en-US" w:eastAsia="zh-CN"/>
        </w:rPr>
        <w:t>本合同一式六份，甲乙双方各持三份，签字盖章后生效。</w:t>
      </w:r>
    </w:p>
    <w:p w14:paraId="1E366BCB">
      <w:pPr>
        <w:spacing w:line="240" w:lineRule="auto"/>
        <w:ind w:firstLine="0" w:firstLineChars="0"/>
        <w:rPr>
          <w:rFonts w:hint="eastAsia" w:eastAsia="仿宋"/>
          <w:color w:val="auto"/>
          <w:kern w:val="21"/>
          <w:szCs w:val="32"/>
        </w:rPr>
      </w:pPr>
    </w:p>
    <w:p w14:paraId="3BA6A36F">
      <w:pPr>
        <w:spacing w:line="560" w:lineRule="exact"/>
        <w:ind w:firstLine="640" w:firstLineChars="200"/>
        <w:rPr>
          <w:rFonts w:eastAsia="仿宋"/>
          <w:color w:val="auto"/>
          <w:kern w:val="21"/>
          <w:szCs w:val="32"/>
          <w:u w:val="single"/>
        </w:rPr>
      </w:pPr>
      <w:r>
        <w:rPr>
          <w:rFonts w:hint="eastAsia" w:eastAsia="仿宋"/>
          <w:color w:val="auto"/>
          <w:kern w:val="21"/>
          <w:szCs w:val="32"/>
        </w:rPr>
        <w:t>甲方（盖章）：</w:t>
      </w:r>
      <w:r>
        <w:rPr>
          <w:rFonts w:hint="eastAsia" w:eastAsia="仿宋"/>
          <w:color w:val="auto"/>
          <w:kern w:val="21"/>
          <w:szCs w:val="32"/>
          <w:u w:val="single"/>
        </w:rPr>
        <w:t>惠</w:t>
      </w:r>
      <w:r>
        <w:rPr>
          <w:rFonts w:hint="eastAsia" w:eastAsia="仿宋"/>
          <w:color w:val="auto"/>
          <w:kern w:val="21"/>
          <w:szCs w:val="32"/>
          <w:u w:val="single"/>
          <w:lang w:eastAsia="zh-CN"/>
        </w:rPr>
        <w:t>城区</w:t>
      </w:r>
      <w:r>
        <w:rPr>
          <w:rFonts w:hint="eastAsia" w:eastAsia="仿宋"/>
          <w:color w:val="auto"/>
          <w:kern w:val="21"/>
          <w:szCs w:val="32"/>
          <w:u w:val="single"/>
        </w:rPr>
        <w:t>自然资源局</w:t>
      </w:r>
    </w:p>
    <w:p w14:paraId="63A65E94">
      <w:pPr>
        <w:spacing w:line="560" w:lineRule="exact"/>
        <w:ind w:firstLine="640" w:firstLineChars="200"/>
        <w:rPr>
          <w:rFonts w:eastAsia="仿宋"/>
          <w:color w:val="auto"/>
          <w:kern w:val="21"/>
          <w:szCs w:val="32"/>
        </w:rPr>
      </w:pPr>
    </w:p>
    <w:p w14:paraId="16815980">
      <w:pPr>
        <w:spacing w:line="560" w:lineRule="exact"/>
        <w:ind w:firstLine="640" w:firstLineChars="200"/>
        <w:rPr>
          <w:rFonts w:eastAsia="仿宋"/>
          <w:color w:val="auto"/>
          <w:kern w:val="21"/>
          <w:szCs w:val="32"/>
        </w:rPr>
      </w:pPr>
      <w:r>
        <w:rPr>
          <w:rFonts w:hint="eastAsia" w:eastAsia="仿宋"/>
          <w:color w:val="auto"/>
          <w:kern w:val="21"/>
          <w:szCs w:val="32"/>
          <w:lang w:eastAsia="zh-CN"/>
        </w:rPr>
        <w:t>负责人</w:t>
      </w:r>
      <w:r>
        <w:rPr>
          <w:rFonts w:hint="eastAsia" w:eastAsia="仿宋"/>
          <w:color w:val="auto"/>
          <w:kern w:val="21"/>
          <w:szCs w:val="32"/>
        </w:rPr>
        <w:t>或授权委托人（签字）：</w:t>
      </w:r>
      <w:r>
        <w:rPr>
          <w:rFonts w:hint="eastAsia" w:eastAsia="仿宋"/>
          <w:color w:val="auto"/>
          <w:kern w:val="21"/>
          <w:szCs w:val="32"/>
          <w:u w:val="single"/>
        </w:rPr>
        <w:t>　　　　　　　　　　</w:t>
      </w:r>
    </w:p>
    <w:p w14:paraId="7E9EA700">
      <w:pPr>
        <w:spacing w:line="560" w:lineRule="exact"/>
        <w:ind w:firstLine="640" w:firstLineChars="200"/>
        <w:rPr>
          <w:rFonts w:eastAsia="仿宋"/>
          <w:color w:val="auto"/>
          <w:kern w:val="21"/>
          <w:szCs w:val="32"/>
        </w:rPr>
      </w:pPr>
      <w:r>
        <w:rPr>
          <w:rFonts w:hint="eastAsia" w:eastAsia="仿宋"/>
          <w:color w:val="auto"/>
          <w:kern w:val="21"/>
          <w:szCs w:val="32"/>
        </w:rPr>
        <w:t>时　　　　间：</w:t>
      </w:r>
      <w:r>
        <w:rPr>
          <w:rFonts w:hint="eastAsia" w:eastAsia="仿宋"/>
          <w:color w:val="auto"/>
          <w:kern w:val="21"/>
          <w:szCs w:val="32"/>
          <w:u w:val="single"/>
        </w:rPr>
        <w:t>202</w:t>
      </w:r>
      <w:r>
        <w:rPr>
          <w:rFonts w:hint="eastAsia" w:eastAsia="仿宋"/>
          <w:color w:val="auto"/>
          <w:kern w:val="21"/>
          <w:szCs w:val="32"/>
          <w:u w:val="single"/>
          <w:lang w:val="en-US" w:eastAsia="zh-CN"/>
        </w:rPr>
        <w:t>6</w:t>
      </w:r>
      <w:r>
        <w:rPr>
          <w:rFonts w:hint="eastAsia" w:eastAsia="仿宋"/>
          <w:color w:val="auto"/>
          <w:kern w:val="21"/>
          <w:szCs w:val="32"/>
        </w:rPr>
        <w:t>年</w:t>
      </w:r>
      <w:r>
        <w:rPr>
          <w:rFonts w:hint="eastAsia" w:eastAsia="仿宋"/>
          <w:color w:val="auto"/>
          <w:kern w:val="21"/>
          <w:szCs w:val="32"/>
          <w:u w:val="single"/>
          <w:lang w:val="en-US" w:eastAsia="zh-CN"/>
        </w:rPr>
        <w:t xml:space="preserve">    </w:t>
      </w:r>
      <w:r>
        <w:rPr>
          <w:rFonts w:hint="eastAsia" w:eastAsia="仿宋"/>
          <w:color w:val="auto"/>
          <w:kern w:val="21"/>
          <w:szCs w:val="32"/>
        </w:rPr>
        <w:t>月</w:t>
      </w:r>
      <w:r>
        <w:rPr>
          <w:rFonts w:hint="eastAsia" w:eastAsia="仿宋"/>
          <w:color w:val="auto"/>
          <w:kern w:val="21"/>
          <w:szCs w:val="32"/>
          <w:u w:val="single"/>
        </w:rPr>
        <w:t>　　</w:t>
      </w:r>
      <w:r>
        <w:rPr>
          <w:rFonts w:hint="eastAsia" w:eastAsia="仿宋"/>
          <w:color w:val="auto"/>
          <w:kern w:val="21"/>
          <w:szCs w:val="32"/>
        </w:rPr>
        <w:t>日</w:t>
      </w:r>
    </w:p>
    <w:p w14:paraId="5EB2742F">
      <w:pPr>
        <w:spacing w:line="560" w:lineRule="exact"/>
        <w:ind w:firstLine="640" w:firstLineChars="200"/>
        <w:rPr>
          <w:rFonts w:eastAsia="仿宋"/>
          <w:color w:val="auto"/>
          <w:kern w:val="21"/>
          <w:szCs w:val="32"/>
        </w:rPr>
      </w:pPr>
    </w:p>
    <w:p w14:paraId="1103F817">
      <w:pPr>
        <w:spacing w:line="560" w:lineRule="exact"/>
        <w:ind w:firstLine="640" w:firstLineChars="200"/>
        <w:rPr>
          <w:rFonts w:eastAsia="仿宋"/>
          <w:color w:val="auto"/>
          <w:kern w:val="21"/>
          <w:szCs w:val="32"/>
        </w:rPr>
      </w:pPr>
    </w:p>
    <w:p w14:paraId="23B25DA0">
      <w:pPr>
        <w:spacing w:line="560" w:lineRule="exact"/>
        <w:ind w:firstLine="640" w:firstLineChars="200"/>
        <w:rPr>
          <w:rFonts w:hint="default" w:eastAsia="仿宋"/>
          <w:color w:val="auto"/>
          <w:kern w:val="21"/>
          <w:szCs w:val="32"/>
          <w:lang w:val="en-US"/>
        </w:rPr>
      </w:pPr>
      <w:r>
        <w:rPr>
          <w:rFonts w:hint="eastAsia" w:eastAsia="仿宋"/>
          <w:color w:val="auto"/>
          <w:kern w:val="21"/>
          <w:szCs w:val="32"/>
        </w:rPr>
        <w:t>乙方（盖章）：</w:t>
      </w:r>
      <w:r>
        <w:rPr>
          <w:rFonts w:hint="eastAsia" w:eastAsia="仿宋"/>
          <w:color w:val="auto"/>
          <w:kern w:val="21"/>
          <w:sz w:val="32"/>
          <w:szCs w:val="32"/>
          <w:u w:val="single"/>
          <w:lang w:val="en-US" w:eastAsia="zh-CN"/>
        </w:rPr>
        <w:t xml:space="preserve">                </w:t>
      </w:r>
    </w:p>
    <w:p w14:paraId="6A17E935">
      <w:pPr>
        <w:spacing w:line="560" w:lineRule="exact"/>
        <w:ind w:firstLine="640" w:firstLineChars="200"/>
        <w:rPr>
          <w:rFonts w:eastAsia="仿宋"/>
          <w:color w:val="auto"/>
          <w:kern w:val="21"/>
          <w:szCs w:val="32"/>
        </w:rPr>
      </w:pPr>
    </w:p>
    <w:p w14:paraId="0AAF84B1">
      <w:pPr>
        <w:spacing w:line="560" w:lineRule="exact"/>
        <w:ind w:firstLine="640" w:firstLineChars="200"/>
        <w:rPr>
          <w:rFonts w:eastAsia="仿宋"/>
          <w:color w:val="auto"/>
          <w:kern w:val="21"/>
          <w:szCs w:val="32"/>
        </w:rPr>
      </w:pPr>
      <w:r>
        <w:rPr>
          <w:rFonts w:hint="eastAsia" w:eastAsia="仿宋"/>
          <w:color w:val="auto"/>
          <w:kern w:val="21"/>
          <w:szCs w:val="32"/>
        </w:rPr>
        <w:t>法定代表人或授权委托人（签字）：</w:t>
      </w:r>
      <w:r>
        <w:rPr>
          <w:rFonts w:hint="eastAsia" w:eastAsia="仿宋"/>
          <w:color w:val="auto"/>
          <w:kern w:val="21"/>
          <w:szCs w:val="32"/>
          <w:u w:val="single"/>
        </w:rPr>
        <w:t>　　　　　　　　　　</w:t>
      </w:r>
    </w:p>
    <w:p w14:paraId="283C4FD0">
      <w:pPr>
        <w:spacing w:line="560" w:lineRule="exact"/>
        <w:ind w:firstLine="640" w:firstLineChars="200"/>
        <w:rPr>
          <w:color w:val="auto"/>
          <w:szCs w:val="32"/>
        </w:rPr>
      </w:pPr>
      <w:r>
        <w:rPr>
          <w:rFonts w:hint="eastAsia" w:eastAsia="仿宋"/>
          <w:color w:val="auto"/>
          <w:kern w:val="21"/>
          <w:szCs w:val="32"/>
        </w:rPr>
        <w:t>时　　　　间：</w:t>
      </w:r>
      <w:r>
        <w:rPr>
          <w:rFonts w:hint="eastAsia" w:eastAsia="仿宋"/>
          <w:color w:val="auto"/>
          <w:kern w:val="21"/>
          <w:szCs w:val="32"/>
          <w:u w:val="single"/>
        </w:rPr>
        <w:t>202</w:t>
      </w:r>
      <w:r>
        <w:rPr>
          <w:rFonts w:hint="eastAsia" w:eastAsia="仿宋"/>
          <w:color w:val="auto"/>
          <w:kern w:val="21"/>
          <w:szCs w:val="32"/>
          <w:u w:val="single"/>
          <w:lang w:val="en-US" w:eastAsia="zh-CN"/>
        </w:rPr>
        <w:t>6</w:t>
      </w:r>
      <w:r>
        <w:rPr>
          <w:rFonts w:hint="eastAsia" w:eastAsia="仿宋"/>
          <w:color w:val="auto"/>
          <w:kern w:val="21"/>
          <w:szCs w:val="32"/>
        </w:rPr>
        <w:t>年</w:t>
      </w:r>
      <w:r>
        <w:rPr>
          <w:rFonts w:hint="eastAsia" w:eastAsia="仿宋"/>
          <w:color w:val="auto"/>
          <w:kern w:val="21"/>
          <w:szCs w:val="32"/>
          <w:u w:val="single"/>
          <w:lang w:val="en-US" w:eastAsia="zh-CN"/>
        </w:rPr>
        <w:t xml:space="preserve">    </w:t>
      </w:r>
      <w:r>
        <w:rPr>
          <w:rFonts w:hint="eastAsia" w:eastAsia="仿宋"/>
          <w:color w:val="auto"/>
          <w:kern w:val="21"/>
          <w:szCs w:val="32"/>
        </w:rPr>
        <w:t>月</w:t>
      </w:r>
      <w:r>
        <w:rPr>
          <w:rFonts w:hint="eastAsia" w:eastAsia="仿宋"/>
          <w:color w:val="auto"/>
          <w:kern w:val="21"/>
          <w:szCs w:val="32"/>
          <w:u w:val="single"/>
        </w:rPr>
        <w:t>　　</w:t>
      </w:r>
      <w:r>
        <w:rPr>
          <w:rFonts w:hint="eastAsia" w:eastAsia="仿宋"/>
          <w:color w:val="auto"/>
          <w:kern w:val="21"/>
          <w:szCs w:val="32"/>
        </w:rPr>
        <w:t>日</w:t>
      </w:r>
    </w:p>
    <w:sectPr>
      <w:footerReference r:id="rId4" w:type="default"/>
      <w:pgSz w:w="11906" w:h="16838"/>
      <w:pgMar w:top="1985" w:right="1474" w:bottom="181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宋体-18030">
    <w:altName w:val="宋体"/>
    <w:panose1 w:val="00000000000000000000"/>
    <w:charset w:val="86"/>
    <w:family w:val="auto"/>
    <w:pitch w:val="default"/>
    <w:sig w:usb0="00000000" w:usb1="00000000" w:usb2="000A005E"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00F21">
    <w:pPr>
      <w:pStyle w:val="5"/>
      <w:jc w:val="center"/>
    </w:pPr>
  </w:p>
  <w:p w14:paraId="480F90D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00FD9">
    <w:pPr>
      <w:pStyle w:val="5"/>
      <w:jc w:val="center"/>
    </w:pPr>
    <w:r>
      <w:fldChar w:fldCharType="begin"/>
    </w:r>
    <w:r>
      <w:instrText xml:space="preserve">PAGE   \* MERGEFORMAT</w:instrText>
    </w:r>
    <w:r>
      <w:fldChar w:fldCharType="separate"/>
    </w:r>
    <w:r>
      <w:t>1</w:t>
    </w:r>
    <w:r>
      <w:fldChar w:fldCharType="end"/>
    </w:r>
  </w:p>
  <w:p w14:paraId="576CBA3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OThhN2Y2OWJmOTdlMGIyYzEyOTcyODViZTAxY2EifQ=="/>
  </w:docVars>
  <w:rsids>
    <w:rsidRoot w:val="002542CA"/>
    <w:rsid w:val="0003055C"/>
    <w:rsid w:val="0003445D"/>
    <w:rsid w:val="00037874"/>
    <w:rsid w:val="00057F63"/>
    <w:rsid w:val="0006240C"/>
    <w:rsid w:val="0008568B"/>
    <w:rsid w:val="000B1101"/>
    <w:rsid w:val="000B5F99"/>
    <w:rsid w:val="000E5148"/>
    <w:rsid w:val="000F5F0F"/>
    <w:rsid w:val="00102A20"/>
    <w:rsid w:val="001063F9"/>
    <w:rsid w:val="00106C9B"/>
    <w:rsid w:val="001176C1"/>
    <w:rsid w:val="001312A3"/>
    <w:rsid w:val="0013529C"/>
    <w:rsid w:val="0014306D"/>
    <w:rsid w:val="00160A10"/>
    <w:rsid w:val="001651D4"/>
    <w:rsid w:val="001652B9"/>
    <w:rsid w:val="001703A3"/>
    <w:rsid w:val="00171AF5"/>
    <w:rsid w:val="00176089"/>
    <w:rsid w:val="001A22B0"/>
    <w:rsid w:val="001B1DB9"/>
    <w:rsid w:val="001E7A9B"/>
    <w:rsid w:val="001F5870"/>
    <w:rsid w:val="00223DDB"/>
    <w:rsid w:val="00235501"/>
    <w:rsid w:val="00236B93"/>
    <w:rsid w:val="002542CA"/>
    <w:rsid w:val="00254C60"/>
    <w:rsid w:val="0025572C"/>
    <w:rsid w:val="00264B36"/>
    <w:rsid w:val="002B2F16"/>
    <w:rsid w:val="002D236C"/>
    <w:rsid w:val="002E35AB"/>
    <w:rsid w:val="002E62F4"/>
    <w:rsid w:val="002F0229"/>
    <w:rsid w:val="00305501"/>
    <w:rsid w:val="00315A34"/>
    <w:rsid w:val="00317976"/>
    <w:rsid w:val="003179BB"/>
    <w:rsid w:val="00330250"/>
    <w:rsid w:val="0033630E"/>
    <w:rsid w:val="00336F9C"/>
    <w:rsid w:val="00337463"/>
    <w:rsid w:val="00357D0C"/>
    <w:rsid w:val="0037259D"/>
    <w:rsid w:val="00373D95"/>
    <w:rsid w:val="0038265A"/>
    <w:rsid w:val="00382A02"/>
    <w:rsid w:val="003A5DF6"/>
    <w:rsid w:val="003A662E"/>
    <w:rsid w:val="003B0251"/>
    <w:rsid w:val="003B7587"/>
    <w:rsid w:val="003E0FE6"/>
    <w:rsid w:val="003E6D18"/>
    <w:rsid w:val="00404E9A"/>
    <w:rsid w:val="004114E3"/>
    <w:rsid w:val="004142B9"/>
    <w:rsid w:val="00415058"/>
    <w:rsid w:val="00417114"/>
    <w:rsid w:val="00423F02"/>
    <w:rsid w:val="0043307A"/>
    <w:rsid w:val="00446B66"/>
    <w:rsid w:val="0045679E"/>
    <w:rsid w:val="00456AA4"/>
    <w:rsid w:val="004810D0"/>
    <w:rsid w:val="004A3C1B"/>
    <w:rsid w:val="004C2662"/>
    <w:rsid w:val="004D017D"/>
    <w:rsid w:val="004D2505"/>
    <w:rsid w:val="004D6F05"/>
    <w:rsid w:val="004D7AA1"/>
    <w:rsid w:val="00536439"/>
    <w:rsid w:val="00540ACA"/>
    <w:rsid w:val="005507E1"/>
    <w:rsid w:val="00587D75"/>
    <w:rsid w:val="00596F47"/>
    <w:rsid w:val="005A3D67"/>
    <w:rsid w:val="005D68EA"/>
    <w:rsid w:val="005E0F15"/>
    <w:rsid w:val="00640B2A"/>
    <w:rsid w:val="006555A6"/>
    <w:rsid w:val="006635B0"/>
    <w:rsid w:val="00681603"/>
    <w:rsid w:val="00693F52"/>
    <w:rsid w:val="006A4A91"/>
    <w:rsid w:val="006B440A"/>
    <w:rsid w:val="006B5A80"/>
    <w:rsid w:val="006C2742"/>
    <w:rsid w:val="006C3BD0"/>
    <w:rsid w:val="006D0854"/>
    <w:rsid w:val="006E4FDE"/>
    <w:rsid w:val="006E58E9"/>
    <w:rsid w:val="00705CD5"/>
    <w:rsid w:val="00761CA7"/>
    <w:rsid w:val="00761EEF"/>
    <w:rsid w:val="007A1DF9"/>
    <w:rsid w:val="007B71AB"/>
    <w:rsid w:val="007C0715"/>
    <w:rsid w:val="007C1648"/>
    <w:rsid w:val="007D6882"/>
    <w:rsid w:val="007F1C3C"/>
    <w:rsid w:val="007F3E68"/>
    <w:rsid w:val="00801F80"/>
    <w:rsid w:val="008049D2"/>
    <w:rsid w:val="008125FF"/>
    <w:rsid w:val="00816EA1"/>
    <w:rsid w:val="00820216"/>
    <w:rsid w:val="008456DB"/>
    <w:rsid w:val="008872F1"/>
    <w:rsid w:val="00892BD6"/>
    <w:rsid w:val="008D7A54"/>
    <w:rsid w:val="008E274F"/>
    <w:rsid w:val="008E2B2B"/>
    <w:rsid w:val="008E4E88"/>
    <w:rsid w:val="008E75D6"/>
    <w:rsid w:val="008E768B"/>
    <w:rsid w:val="00953944"/>
    <w:rsid w:val="00973C1A"/>
    <w:rsid w:val="0098355C"/>
    <w:rsid w:val="00984FFE"/>
    <w:rsid w:val="009C4E35"/>
    <w:rsid w:val="009C537B"/>
    <w:rsid w:val="00A1476D"/>
    <w:rsid w:val="00A17CB4"/>
    <w:rsid w:val="00A26917"/>
    <w:rsid w:val="00A31DAE"/>
    <w:rsid w:val="00A83383"/>
    <w:rsid w:val="00A85595"/>
    <w:rsid w:val="00A90477"/>
    <w:rsid w:val="00AB6324"/>
    <w:rsid w:val="00AD2C70"/>
    <w:rsid w:val="00AE2207"/>
    <w:rsid w:val="00B01BB8"/>
    <w:rsid w:val="00B17952"/>
    <w:rsid w:val="00B669AE"/>
    <w:rsid w:val="00B92D7B"/>
    <w:rsid w:val="00B94A95"/>
    <w:rsid w:val="00BB1703"/>
    <w:rsid w:val="00BD7C60"/>
    <w:rsid w:val="00C00243"/>
    <w:rsid w:val="00C01304"/>
    <w:rsid w:val="00C0212A"/>
    <w:rsid w:val="00C20174"/>
    <w:rsid w:val="00C215FA"/>
    <w:rsid w:val="00C27941"/>
    <w:rsid w:val="00C27ADB"/>
    <w:rsid w:val="00C36EB1"/>
    <w:rsid w:val="00C533F9"/>
    <w:rsid w:val="00C568E9"/>
    <w:rsid w:val="00C75E88"/>
    <w:rsid w:val="00C82BD7"/>
    <w:rsid w:val="00C83B96"/>
    <w:rsid w:val="00CA0674"/>
    <w:rsid w:val="00CA445C"/>
    <w:rsid w:val="00CA4656"/>
    <w:rsid w:val="00CB5C84"/>
    <w:rsid w:val="00CB5E86"/>
    <w:rsid w:val="00CD096F"/>
    <w:rsid w:val="00CD4817"/>
    <w:rsid w:val="00CF5906"/>
    <w:rsid w:val="00D21E67"/>
    <w:rsid w:val="00D25F4F"/>
    <w:rsid w:val="00D52A6A"/>
    <w:rsid w:val="00D53318"/>
    <w:rsid w:val="00D8501D"/>
    <w:rsid w:val="00D85111"/>
    <w:rsid w:val="00D95E52"/>
    <w:rsid w:val="00DB41F3"/>
    <w:rsid w:val="00DE49C3"/>
    <w:rsid w:val="00DF5F4B"/>
    <w:rsid w:val="00E14E61"/>
    <w:rsid w:val="00E153A8"/>
    <w:rsid w:val="00E301D2"/>
    <w:rsid w:val="00E42E57"/>
    <w:rsid w:val="00E57F6F"/>
    <w:rsid w:val="00E75DD5"/>
    <w:rsid w:val="00E90ACD"/>
    <w:rsid w:val="00E97543"/>
    <w:rsid w:val="00EA34E5"/>
    <w:rsid w:val="00EB6B4C"/>
    <w:rsid w:val="00EC1A6F"/>
    <w:rsid w:val="00EC40A1"/>
    <w:rsid w:val="00EF53E1"/>
    <w:rsid w:val="00F02D28"/>
    <w:rsid w:val="00F078CC"/>
    <w:rsid w:val="00F10230"/>
    <w:rsid w:val="00F174A2"/>
    <w:rsid w:val="00F22333"/>
    <w:rsid w:val="00F22C67"/>
    <w:rsid w:val="00F2709D"/>
    <w:rsid w:val="00F3066D"/>
    <w:rsid w:val="00F314A7"/>
    <w:rsid w:val="00F446B0"/>
    <w:rsid w:val="00F52620"/>
    <w:rsid w:val="00F55F97"/>
    <w:rsid w:val="00F758A8"/>
    <w:rsid w:val="00F77833"/>
    <w:rsid w:val="00F8179E"/>
    <w:rsid w:val="00F919B7"/>
    <w:rsid w:val="00FA4049"/>
    <w:rsid w:val="00FA7133"/>
    <w:rsid w:val="00FB1C9A"/>
    <w:rsid w:val="00FB520C"/>
    <w:rsid w:val="00FC5DC4"/>
    <w:rsid w:val="016853DB"/>
    <w:rsid w:val="01FA029B"/>
    <w:rsid w:val="02696CFC"/>
    <w:rsid w:val="03306B8C"/>
    <w:rsid w:val="0381675C"/>
    <w:rsid w:val="04137EE5"/>
    <w:rsid w:val="05014DF6"/>
    <w:rsid w:val="051D4572"/>
    <w:rsid w:val="06F366F7"/>
    <w:rsid w:val="07384419"/>
    <w:rsid w:val="07CE18DD"/>
    <w:rsid w:val="09B86E7F"/>
    <w:rsid w:val="0A066E3A"/>
    <w:rsid w:val="0A5B1BB3"/>
    <w:rsid w:val="0AB4389F"/>
    <w:rsid w:val="0AD916A4"/>
    <w:rsid w:val="0B820256"/>
    <w:rsid w:val="0BD600F1"/>
    <w:rsid w:val="0BDD0D82"/>
    <w:rsid w:val="0C780B33"/>
    <w:rsid w:val="0CB1205F"/>
    <w:rsid w:val="0CDD0FA5"/>
    <w:rsid w:val="0D12337E"/>
    <w:rsid w:val="0D2C77AB"/>
    <w:rsid w:val="0D4622F1"/>
    <w:rsid w:val="0DC764D5"/>
    <w:rsid w:val="0E2D3DC1"/>
    <w:rsid w:val="0F10280B"/>
    <w:rsid w:val="0F981E35"/>
    <w:rsid w:val="1072259E"/>
    <w:rsid w:val="10E16942"/>
    <w:rsid w:val="110000F0"/>
    <w:rsid w:val="11C11872"/>
    <w:rsid w:val="11DF0FD9"/>
    <w:rsid w:val="12EF2D0A"/>
    <w:rsid w:val="131F00EB"/>
    <w:rsid w:val="13BE6010"/>
    <w:rsid w:val="14601D7C"/>
    <w:rsid w:val="14C32C0A"/>
    <w:rsid w:val="158A3BD5"/>
    <w:rsid w:val="16135644"/>
    <w:rsid w:val="16201D5D"/>
    <w:rsid w:val="167A399C"/>
    <w:rsid w:val="172018FF"/>
    <w:rsid w:val="17C31108"/>
    <w:rsid w:val="194977F4"/>
    <w:rsid w:val="19AF1AEC"/>
    <w:rsid w:val="1AC90DBB"/>
    <w:rsid w:val="1B40570F"/>
    <w:rsid w:val="1B415BC7"/>
    <w:rsid w:val="1B5F3BCF"/>
    <w:rsid w:val="1BF3691A"/>
    <w:rsid w:val="1C335675"/>
    <w:rsid w:val="1C823FD5"/>
    <w:rsid w:val="1CEF0D86"/>
    <w:rsid w:val="1DAD0DED"/>
    <w:rsid w:val="1EDF1521"/>
    <w:rsid w:val="20C873B0"/>
    <w:rsid w:val="21803145"/>
    <w:rsid w:val="224131C1"/>
    <w:rsid w:val="226F7A9E"/>
    <w:rsid w:val="22725439"/>
    <w:rsid w:val="2382560C"/>
    <w:rsid w:val="242B0C8C"/>
    <w:rsid w:val="2536704D"/>
    <w:rsid w:val="25831C02"/>
    <w:rsid w:val="26F92A28"/>
    <w:rsid w:val="270A6BB2"/>
    <w:rsid w:val="277111FB"/>
    <w:rsid w:val="27AF38A8"/>
    <w:rsid w:val="285E349C"/>
    <w:rsid w:val="28AD37CB"/>
    <w:rsid w:val="29730207"/>
    <w:rsid w:val="29F3735B"/>
    <w:rsid w:val="2F7B2B74"/>
    <w:rsid w:val="2FED7630"/>
    <w:rsid w:val="30083A5D"/>
    <w:rsid w:val="30744ECD"/>
    <w:rsid w:val="31A668AB"/>
    <w:rsid w:val="31AF2F10"/>
    <w:rsid w:val="31CA7DC8"/>
    <w:rsid w:val="322244CA"/>
    <w:rsid w:val="324E771C"/>
    <w:rsid w:val="33DD2692"/>
    <w:rsid w:val="34C40235"/>
    <w:rsid w:val="34E75C08"/>
    <w:rsid w:val="35464039"/>
    <w:rsid w:val="35A45D01"/>
    <w:rsid w:val="35F75CDE"/>
    <w:rsid w:val="36370896"/>
    <w:rsid w:val="363F4728"/>
    <w:rsid w:val="37810E50"/>
    <w:rsid w:val="37AA0860"/>
    <w:rsid w:val="37F111CF"/>
    <w:rsid w:val="38111509"/>
    <w:rsid w:val="38704DA6"/>
    <w:rsid w:val="38F0679E"/>
    <w:rsid w:val="39440601"/>
    <w:rsid w:val="39650CB9"/>
    <w:rsid w:val="3A736AF5"/>
    <w:rsid w:val="3C147561"/>
    <w:rsid w:val="3C345451"/>
    <w:rsid w:val="3CA34694"/>
    <w:rsid w:val="3CDE7ADE"/>
    <w:rsid w:val="3CF62F90"/>
    <w:rsid w:val="3F05347E"/>
    <w:rsid w:val="3F652B35"/>
    <w:rsid w:val="4230310B"/>
    <w:rsid w:val="4265497C"/>
    <w:rsid w:val="42C03926"/>
    <w:rsid w:val="42D94E74"/>
    <w:rsid w:val="43120317"/>
    <w:rsid w:val="449D03ED"/>
    <w:rsid w:val="45E70434"/>
    <w:rsid w:val="45EB7DD5"/>
    <w:rsid w:val="47505EDD"/>
    <w:rsid w:val="484F022F"/>
    <w:rsid w:val="4936052D"/>
    <w:rsid w:val="49803590"/>
    <w:rsid w:val="498B5A38"/>
    <w:rsid w:val="498E313A"/>
    <w:rsid w:val="499A49CE"/>
    <w:rsid w:val="49D2497F"/>
    <w:rsid w:val="4C3767C6"/>
    <w:rsid w:val="4C4C01A8"/>
    <w:rsid w:val="4C682DC0"/>
    <w:rsid w:val="4C865E9F"/>
    <w:rsid w:val="4DC12B9F"/>
    <w:rsid w:val="4DC360A2"/>
    <w:rsid w:val="4E03108A"/>
    <w:rsid w:val="4E3C4E24"/>
    <w:rsid w:val="4EC6244D"/>
    <w:rsid w:val="4F12148F"/>
    <w:rsid w:val="4F506B2E"/>
    <w:rsid w:val="4F75055E"/>
    <w:rsid w:val="4FE27DFB"/>
    <w:rsid w:val="50242389"/>
    <w:rsid w:val="504D465E"/>
    <w:rsid w:val="50EB1483"/>
    <w:rsid w:val="51AB53EE"/>
    <w:rsid w:val="5295355A"/>
    <w:rsid w:val="52CC1E59"/>
    <w:rsid w:val="52F51824"/>
    <w:rsid w:val="539A2935"/>
    <w:rsid w:val="53C46FFC"/>
    <w:rsid w:val="540974FD"/>
    <w:rsid w:val="543A4A3D"/>
    <w:rsid w:val="54BF5CB9"/>
    <w:rsid w:val="54C449A1"/>
    <w:rsid w:val="54DC012F"/>
    <w:rsid w:val="54F00CE8"/>
    <w:rsid w:val="55343727"/>
    <w:rsid w:val="55B561A8"/>
    <w:rsid w:val="55F83204"/>
    <w:rsid w:val="565057FA"/>
    <w:rsid w:val="5973533B"/>
    <w:rsid w:val="59810AE7"/>
    <w:rsid w:val="59C430A0"/>
    <w:rsid w:val="5AD45C89"/>
    <w:rsid w:val="5AF678B1"/>
    <w:rsid w:val="5BC664D1"/>
    <w:rsid w:val="5C1D3405"/>
    <w:rsid w:val="5CFC2F9C"/>
    <w:rsid w:val="5D2F6C6E"/>
    <w:rsid w:val="5DB821D0"/>
    <w:rsid w:val="5F352ACA"/>
    <w:rsid w:val="5F726FB9"/>
    <w:rsid w:val="5FA02535"/>
    <w:rsid w:val="602816AC"/>
    <w:rsid w:val="605A22C6"/>
    <w:rsid w:val="63640C4D"/>
    <w:rsid w:val="639878CA"/>
    <w:rsid w:val="63C02EA7"/>
    <w:rsid w:val="63C452B0"/>
    <w:rsid w:val="64760260"/>
    <w:rsid w:val="648864A2"/>
    <w:rsid w:val="64AE34DA"/>
    <w:rsid w:val="64D55C80"/>
    <w:rsid w:val="665242EE"/>
    <w:rsid w:val="6755389F"/>
    <w:rsid w:val="680A584E"/>
    <w:rsid w:val="68FB09C9"/>
    <w:rsid w:val="6A06437E"/>
    <w:rsid w:val="6AA638F9"/>
    <w:rsid w:val="6AE0505D"/>
    <w:rsid w:val="6AE362EB"/>
    <w:rsid w:val="6B244679"/>
    <w:rsid w:val="6B410883"/>
    <w:rsid w:val="6BAD1237"/>
    <w:rsid w:val="6C953733"/>
    <w:rsid w:val="6CD854A1"/>
    <w:rsid w:val="7091449A"/>
    <w:rsid w:val="71825154"/>
    <w:rsid w:val="719B34F1"/>
    <w:rsid w:val="72496B0C"/>
    <w:rsid w:val="72521C0C"/>
    <w:rsid w:val="7291303C"/>
    <w:rsid w:val="72BE23C1"/>
    <w:rsid w:val="73440153"/>
    <w:rsid w:val="73636360"/>
    <w:rsid w:val="73AD3F4B"/>
    <w:rsid w:val="742835C2"/>
    <w:rsid w:val="75FA0295"/>
    <w:rsid w:val="77DF01CD"/>
    <w:rsid w:val="784A7A67"/>
    <w:rsid w:val="790E0A75"/>
    <w:rsid w:val="79623092"/>
    <w:rsid w:val="7A2618F6"/>
    <w:rsid w:val="7A330C0C"/>
    <w:rsid w:val="7A7E1F85"/>
    <w:rsid w:val="7B285A01"/>
    <w:rsid w:val="7B335155"/>
    <w:rsid w:val="7C741AA9"/>
    <w:rsid w:val="7CAE6F85"/>
    <w:rsid w:val="7EA305F6"/>
    <w:rsid w:val="7EDE45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alloon Text"/>
    <w:basedOn w:val="1"/>
    <w:link w:val="18"/>
    <w:semiHidden/>
    <w:unhideWhenUsed/>
    <w:qFormat/>
    <w:uiPriority w:val="0"/>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spacing w:beforeAutospacing="1" w:afterAutospacing="1"/>
      <w:jc w:val="left"/>
    </w:pPr>
    <w:rPr>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annotation reference"/>
    <w:basedOn w:val="10"/>
    <w:semiHidden/>
    <w:unhideWhenUsed/>
    <w:qFormat/>
    <w:uiPriority w:val="0"/>
    <w:rPr>
      <w:sz w:val="21"/>
      <w:szCs w:val="21"/>
    </w:rPr>
  </w:style>
  <w:style w:type="character" w:customStyle="1" w:styleId="13">
    <w:name w:val="页眉 Char"/>
    <w:basedOn w:val="10"/>
    <w:link w:val="6"/>
    <w:qFormat/>
    <w:uiPriority w:val="99"/>
    <w:rPr>
      <w:rFonts w:ascii="Times New Roman" w:hAnsi="Times New Roman" w:eastAsia="仿宋_GB2312" w:cs="Times New Roman"/>
      <w:sz w:val="18"/>
      <w:szCs w:val="18"/>
    </w:rPr>
  </w:style>
  <w:style w:type="character" w:customStyle="1" w:styleId="14">
    <w:name w:val="页脚 Char"/>
    <w:basedOn w:val="10"/>
    <w:link w:val="5"/>
    <w:qFormat/>
    <w:uiPriority w:val="99"/>
    <w:rPr>
      <w:rFonts w:ascii="Times New Roman" w:hAnsi="Times New Roman" w:eastAsia="仿宋_GB2312" w:cs="Times New Roman"/>
      <w:sz w:val="18"/>
      <w:szCs w:val="18"/>
    </w:rPr>
  </w:style>
  <w:style w:type="character" w:customStyle="1" w:styleId="15">
    <w:name w:val="NormalCharacter"/>
    <w:qFormat/>
    <w:uiPriority w:val="0"/>
  </w:style>
  <w:style w:type="paragraph" w:customStyle="1" w:styleId="16">
    <w:name w:val="UserStyle_3"/>
    <w:basedOn w:val="1"/>
    <w:qFormat/>
    <w:uiPriority w:val="0"/>
    <w:pPr>
      <w:spacing w:line="360" w:lineRule="auto"/>
      <w:ind w:firstLine="480" w:firstLineChars="200"/>
      <w:jc w:val="center"/>
    </w:pPr>
    <w:rPr>
      <w:color w:val="000000"/>
      <w:sz w:val="24"/>
    </w:rPr>
  </w:style>
  <w:style w:type="character" w:customStyle="1" w:styleId="17">
    <w:name w:val="UserStyle_0"/>
    <w:qFormat/>
    <w:uiPriority w:val="0"/>
  </w:style>
  <w:style w:type="character" w:customStyle="1" w:styleId="18">
    <w:name w:val="批注框文本 Char"/>
    <w:basedOn w:val="10"/>
    <w:link w:val="4"/>
    <w:semiHidden/>
    <w:qFormat/>
    <w:uiPriority w:val="0"/>
    <w:rPr>
      <w:rFonts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4006</Words>
  <Characters>4116</Characters>
  <Lines>36</Lines>
  <Paragraphs>10</Paragraphs>
  <TotalTime>0</TotalTime>
  <ScaleCrop>false</ScaleCrop>
  <LinksUpToDate>false</LinksUpToDate>
  <CharactersWithSpaces>4416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2019-06-01T05:51:00Z</dcterms:created>
  <dc:creator>Administrator</dc:creator>
  <cp:lastModifiedBy>徐斌</cp:lastModifiedBy>
  <cp:lastPrinted>2021-11-16T08:27:00Z</cp:lastPrinted>
  <dcterms:modified xsi:type="dcterms:W3CDTF">2025-12-26T05:36:00Z</dcterms:modified>
  <dc:title>合同编号：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4349ECE1CDE1426AA36A61F2B93CACE6_13</vt:lpwstr>
  </property>
  <property fmtid="{D5CDD505-2E9C-101B-9397-08002B2CF9AE}" pid="4" name="KSOTemplateDocerSaveRecord">
    <vt:lpwstr>eyJoZGlkIjoiNWFkNjE1YWM1NzY4MGYxM2MwNzMyYTYwZjUzY2ZkN2EiLCJ1c2VySWQiOiI2NDgxNTM0NjcifQ==</vt:lpwstr>
  </property>
</Properties>
</file>